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0" w:beforeLines="1000"/>
        <w:jc w:val="center"/>
        <w:rPr>
          <w:rFonts w:hint="default" w:cs="黑体" w:asciiTheme="minorEastAsia" w:hAnsiTheme="minorEastAsia" w:eastAsiaTheme="minorEastAsia"/>
          <w:b/>
          <w:sz w:val="52"/>
          <w:szCs w:val="52"/>
          <w:lang w:val="en-US" w:eastAsia="zh-CN"/>
        </w:rPr>
      </w:pPr>
      <w:bookmarkStart w:id="0" w:name="_Address#2843188050"/>
      <w:bookmarkStart w:id="1" w:name="_Toc488346521"/>
      <w:r>
        <w:rPr>
          <w:rFonts w:cs="微软雅黑" w:asciiTheme="minorEastAsia" w:hAnsiTheme="minorEastAsia"/>
          <w:b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-1143635</wp:posOffset>
            </wp:positionH>
            <wp:positionV relativeFrom="paragraph">
              <wp:posOffset>-900430</wp:posOffset>
            </wp:positionV>
            <wp:extent cx="8028305" cy="3080385"/>
            <wp:effectExtent l="0" t="0" r="10795" b="5715"/>
            <wp:wrapNone/>
            <wp:docPr id="1" name="图片 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未标题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8305" cy="308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黑体" w:asciiTheme="minorEastAsia" w:hAnsiTheme="minorEastAsia"/>
          <w:b/>
          <w:sz w:val="52"/>
          <w:szCs w:val="52"/>
        </w:rPr>
        <w:t>医用耗材交易平台</w:t>
      </w:r>
      <w:r>
        <w:rPr>
          <w:rFonts w:hint="eastAsia" w:cs="黑体" w:asciiTheme="minorEastAsia" w:hAnsiTheme="minorEastAsia"/>
          <w:b/>
          <w:sz w:val="52"/>
          <w:szCs w:val="52"/>
          <w:lang w:val="en-US" w:eastAsia="zh-CN"/>
        </w:rPr>
        <w:t>操作手册</w:t>
      </w:r>
    </w:p>
    <w:p>
      <w:pPr>
        <w:jc w:val="center"/>
        <w:rPr>
          <w:rFonts w:hint="eastAsia" w:cs="黑体" w:asciiTheme="minorEastAsia" w:hAnsiTheme="minorEastAsia" w:eastAsiaTheme="minorEastAsia"/>
          <w:b/>
          <w:sz w:val="72"/>
          <w:szCs w:val="72"/>
          <w:lang w:eastAsia="zh-CN"/>
        </w:rPr>
      </w:pPr>
      <w:r>
        <w:rPr>
          <w:rFonts w:hint="eastAsia" w:cs="黑体" w:asciiTheme="minorEastAsia" w:hAnsiTheme="minorEastAsia"/>
          <w:b w:val="0"/>
          <w:bCs/>
          <w:sz w:val="30"/>
          <w:szCs w:val="30"/>
          <w:lang w:eastAsia="zh-CN"/>
        </w:rPr>
        <w:t>（</w:t>
      </w:r>
      <w:r>
        <w:rPr>
          <w:rFonts w:hint="eastAsia" w:cs="黑体" w:asciiTheme="minorEastAsia" w:hAnsiTheme="minorEastAsia"/>
          <w:b w:val="0"/>
          <w:bCs/>
          <w:sz w:val="30"/>
          <w:szCs w:val="30"/>
        </w:rPr>
        <w:t>配送企业</w:t>
      </w:r>
      <w:r>
        <w:rPr>
          <w:rFonts w:hint="eastAsia" w:cs="黑体" w:asciiTheme="minorEastAsia" w:hAnsiTheme="minorEastAsia"/>
          <w:b w:val="0"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eastAsia" w:cs="黑体" w:asciiTheme="minorEastAsia" w:hAnsiTheme="minorEastAsia" w:eastAsiaTheme="minorEastAsia"/>
          <w:szCs w:val="21"/>
          <w:lang w:val="en-US" w:eastAsia="zh-CN"/>
        </w:rPr>
      </w:pPr>
      <w:r>
        <w:rPr>
          <w:rFonts w:cs="黑体" w:asciiTheme="minorEastAsia" w:hAnsiTheme="minorEastAsia"/>
          <w:szCs w:val="21"/>
        </w:rPr>
        <w:t>V</w:t>
      </w:r>
      <w:r>
        <w:rPr>
          <w:rFonts w:hint="eastAsia" w:cs="黑体" w:asciiTheme="minorEastAsia" w:hAnsiTheme="minorEastAsia"/>
          <w:szCs w:val="21"/>
        </w:rPr>
        <w:t>1.0.</w:t>
      </w:r>
      <w:r>
        <w:rPr>
          <w:rFonts w:hint="eastAsia" w:cs="黑体" w:asciiTheme="minorEastAsia" w:hAnsiTheme="minorEastAsia"/>
          <w:szCs w:val="21"/>
          <w:lang w:val="en-US" w:eastAsia="zh-CN"/>
        </w:rPr>
        <w:t>0</w:t>
      </w:r>
    </w:p>
    <w:p>
      <w:pPr>
        <w:spacing w:before="6240" w:beforeLines="2000"/>
        <w:jc w:val="center"/>
        <w:rPr>
          <w:rFonts w:asciiTheme="minorEastAsia" w:hAnsiTheme="minorEastAsia"/>
          <w:bCs/>
          <w:sz w:val="24"/>
        </w:rPr>
      </w:pPr>
    </w:p>
    <w:p>
      <w:pPr>
        <w:pStyle w:val="22"/>
        <w:ind w:left="425"/>
        <w:jc w:val="center"/>
        <w:rPr>
          <w:rFonts w:asciiTheme="minorEastAsia" w:hAnsiTheme="minorEastAsia" w:eastAsiaTheme="minorEastAsia"/>
          <w:bCs w:val="0"/>
          <w:sz w:val="24"/>
          <w:szCs w:val="24"/>
        </w:rPr>
      </w:pPr>
      <w:bookmarkStart w:id="2" w:name="_Date#327175886"/>
      <w:r>
        <w:rPr>
          <w:rFonts w:hint="eastAsia" w:asciiTheme="minorEastAsia" w:hAnsiTheme="minorEastAsia" w:eastAsiaTheme="minorEastAsia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</w:rPr>
        <w:instrText xml:space="preserve">Time \@ "yyyy年M月d日"</w:instrText>
      </w:r>
      <w:r>
        <w:rPr>
          <w:rFonts w:hint="eastAsia" w:asciiTheme="minorEastAsia" w:hAnsiTheme="minorEastAsia" w:eastAsiaTheme="minorEastAsia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/>
          <w:bCs w:val="0"/>
          <w:sz w:val="24"/>
          <w:szCs w:val="24"/>
        </w:rPr>
        <w:t>2020年8月4日</w:t>
      </w:r>
      <w:r>
        <w:rPr>
          <w:rFonts w:hint="eastAsia" w:asciiTheme="minorEastAsia" w:hAnsiTheme="minorEastAsia" w:eastAsiaTheme="minorEastAsia"/>
          <w:bCs w:val="0"/>
          <w:sz w:val="24"/>
          <w:szCs w:val="24"/>
        </w:rPr>
        <w:fldChar w:fldCharType="end"/>
      </w:r>
      <w:bookmarkEnd w:id="2"/>
    </w:p>
    <w:p>
      <w:pPr>
        <w:jc w:val="center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br w:type="page"/>
      </w:r>
    </w:p>
    <w:bookmarkEnd w:id="0"/>
    <w:sdt>
      <w:sdtPr>
        <w:rPr>
          <w:rFonts w:asciiTheme="minorEastAsia" w:hAnsiTheme="minorEastAsia" w:eastAsiaTheme="minorEastAsia" w:cstheme="minorBidi"/>
          <w:b w:val="0"/>
          <w:bCs w:val="0"/>
          <w:color w:val="auto"/>
          <w:kern w:val="2"/>
          <w:sz w:val="21"/>
          <w:szCs w:val="24"/>
          <w:lang w:val="zh-CN"/>
        </w:rPr>
        <w:id w:val="-558866001"/>
        <w:docPartObj>
          <w:docPartGallery w:val="Table of Contents"/>
          <w:docPartUnique/>
        </w:docPartObj>
      </w:sdtPr>
      <w:sdtEndPr>
        <w:rPr>
          <w:rFonts w:asciiTheme="minorEastAsia" w:hAnsiTheme="minorEastAsia" w:eastAsiaTheme="minorEastAsia" w:cstheme="minorBidi"/>
          <w:b w:val="0"/>
          <w:bCs w:val="0"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22"/>
            <w:jc w:val="center"/>
            <w:rPr>
              <w:rFonts w:asciiTheme="minorEastAsia" w:hAnsiTheme="minorEastAsia" w:eastAsiaTheme="minorEastAsia"/>
            </w:rPr>
          </w:pPr>
          <w:r>
            <w:rPr>
              <w:rFonts w:asciiTheme="minorEastAsia" w:hAnsiTheme="minorEastAsia" w:eastAsiaTheme="minorEastAsia"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asciiTheme="minorEastAsia" w:hAnsiTheme="minorEastAsia"/>
            </w:rPr>
            <w:fldChar w:fldCharType="begin"/>
          </w:r>
          <w:r>
            <w:rPr>
              <w:rFonts w:asciiTheme="minorEastAsia" w:hAnsiTheme="minorEastAsia"/>
            </w:rPr>
            <w:instrText xml:space="preserve"> TOC \o "1-3" \h \z \u </w:instrText>
          </w:r>
          <w:r>
            <w:rPr>
              <w:rFonts w:asciiTheme="minorEastAsia" w:hAnsiTheme="minorEastAsia"/>
            </w:rPr>
            <w:fldChar w:fldCharType="separate"/>
          </w:r>
          <w:r>
            <w:rPr>
              <w:rFonts w:asciiTheme="minorEastAsia" w:hAnsiTheme="minorEastAsia"/>
            </w:rPr>
            <w:fldChar w:fldCharType="begin"/>
          </w:r>
          <w:r>
            <w:rPr>
              <w:rFonts w:asciiTheme="minorEastAsia" w:hAnsiTheme="minorEastAsia"/>
            </w:rPr>
            <w:instrText xml:space="preserve"> HYPERLINK \l _Toc11330 </w:instrText>
          </w:r>
          <w:r>
            <w:rPr>
              <w:rFonts w:asciiTheme="minorEastAsia" w:hAnsiTheme="minorEastAsia"/>
            </w:rPr>
            <w:fldChar w:fldCharType="separate"/>
          </w:r>
          <w:r>
            <w:rPr>
              <w:rFonts w:cs="黑体" w:asciiTheme="minorEastAsia" w:hAnsiTheme="minorEastAsia"/>
              <w:szCs w:val="36"/>
            </w:rPr>
            <w:t xml:space="preserve">1. </w:t>
          </w:r>
          <w:r>
            <w:rPr>
              <w:rFonts w:hint="eastAsia" w:cs="黑体" w:asciiTheme="minorEastAsia" w:hAnsiTheme="minorEastAsia"/>
              <w:szCs w:val="36"/>
            </w:rPr>
            <w:t>使用说明</w:t>
          </w:r>
          <w:r>
            <w:tab/>
          </w:r>
          <w:r>
            <w:fldChar w:fldCharType="begin"/>
          </w:r>
          <w:r>
            <w:instrText xml:space="preserve"> PAGEREF _Toc11330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EastAsia" w:hAnsi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_Toc12067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 w:eastAsiaTheme="minorEastAsia"/>
              <w:szCs w:val="22"/>
            </w:rPr>
            <w:t xml:space="preserve">1.1. 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浏览器要求</w:t>
          </w:r>
          <w:r>
            <w:tab/>
          </w:r>
          <w:r>
            <w:fldChar w:fldCharType="begin"/>
          </w:r>
          <w:r>
            <w:instrText xml:space="preserve"> PAGEREF _Toc12067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_Toc22901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/>
              <w:szCs w:val="36"/>
            </w:rPr>
            <w:t xml:space="preserve">2. </w:t>
          </w:r>
          <w:r>
            <w:rPr>
              <w:rFonts w:hint="eastAsia" w:cs="黑体" w:asciiTheme="minorEastAsia" w:hAnsiTheme="minorEastAsia"/>
              <w:szCs w:val="36"/>
            </w:rPr>
            <w:t>登录</w:t>
          </w:r>
          <w:r>
            <w:tab/>
          </w:r>
          <w:r>
            <w:fldChar w:fldCharType="begin"/>
          </w:r>
          <w:r>
            <w:instrText xml:space="preserve"> PAGEREF _Toc22901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_Toc23949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 w:eastAsiaTheme="minorEastAsia"/>
              <w:szCs w:val="22"/>
            </w:rPr>
            <w:t xml:space="preserve">2.1. 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登录</w:t>
          </w:r>
          <w:r>
            <w:tab/>
          </w:r>
          <w:r>
            <w:fldChar w:fldCharType="begin"/>
          </w:r>
          <w:r>
            <w:instrText xml:space="preserve"> PAGEREF _Toc23949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_Toc13390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t xml:space="preserve">3. </w:t>
          </w:r>
          <w:r>
            <w:rPr>
              <w:rFonts w:hint="eastAsia"/>
              <w:lang w:val="en-US" w:eastAsia="zh-CN"/>
            </w:rPr>
            <w:t>配送企业首页</w:t>
          </w:r>
          <w:r>
            <w:tab/>
          </w:r>
          <w:r>
            <w:fldChar w:fldCharType="begin"/>
          </w:r>
          <w:r>
            <w:instrText xml:space="preserve"> PAGEREF _Toc13390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_Toc609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/>
              <w:szCs w:val="36"/>
            </w:rPr>
            <w:t xml:space="preserve">4. </w:t>
          </w:r>
          <w:r>
            <w:rPr>
              <w:rFonts w:hint="eastAsia" w:cs="黑体" w:asciiTheme="minorEastAsia" w:hAnsiTheme="minorEastAsia"/>
              <w:szCs w:val="36"/>
              <w:lang w:val="en-US" w:eastAsia="zh-CN"/>
            </w:rPr>
            <w:t>发货退货</w:t>
          </w:r>
          <w:r>
            <w:rPr>
              <w:rFonts w:hint="eastAsia" w:cs="黑体" w:asciiTheme="minorEastAsia" w:hAnsiTheme="minorEastAsia"/>
              <w:szCs w:val="36"/>
            </w:rPr>
            <w:t>管理</w:t>
          </w:r>
          <w:r>
            <w:tab/>
          </w:r>
          <w:r>
            <w:fldChar w:fldCharType="begin"/>
          </w:r>
          <w:r>
            <w:instrText xml:space="preserve"> PAGEREF _Toc609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_Toc28369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 w:eastAsiaTheme="minorEastAsia"/>
              <w:szCs w:val="22"/>
            </w:rPr>
            <w:t xml:space="preserve">4.1. 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按订单发货</w:t>
          </w:r>
          <w:r>
            <w:tab/>
          </w:r>
          <w:r>
            <w:fldChar w:fldCharType="begin"/>
          </w:r>
          <w:r>
            <w:instrText xml:space="preserve"> PAGEREF _Toc28369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_Toc31864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 w:eastAsiaTheme="minorEastAsia"/>
              <w:szCs w:val="22"/>
            </w:rPr>
            <w:t xml:space="preserve">4.2. 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按</w:t>
          </w:r>
          <w:r>
            <w:rPr>
              <w:rFonts w:hint="eastAsia" w:cs="黑体" w:asciiTheme="minorEastAsia" w:hAnsiTheme="minorEastAsia" w:eastAsiaTheme="minorEastAsia"/>
              <w:szCs w:val="22"/>
              <w:lang w:val="en-US" w:eastAsia="zh-CN"/>
            </w:rPr>
            <w:t>明细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发货</w:t>
          </w:r>
          <w:r>
            <w:tab/>
          </w:r>
          <w:r>
            <w:fldChar w:fldCharType="begin"/>
          </w:r>
          <w:r>
            <w:instrText xml:space="preserve"> PAGEREF _Toc31864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_Toc5587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 w:eastAsiaTheme="minorEastAsia"/>
              <w:szCs w:val="22"/>
            </w:rPr>
            <w:t xml:space="preserve">4.3. 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补录</w:t>
          </w:r>
          <w:r>
            <w:rPr>
              <w:rFonts w:hint="eastAsia" w:cs="黑体" w:asciiTheme="minorEastAsia" w:hAnsiTheme="minorEastAsia" w:eastAsiaTheme="minorEastAsia"/>
              <w:szCs w:val="22"/>
              <w:lang w:val="en-US" w:eastAsia="zh-CN"/>
            </w:rPr>
            <w:t>单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确认</w:t>
          </w:r>
          <w:r>
            <w:tab/>
          </w:r>
          <w:r>
            <w:fldChar w:fldCharType="begin"/>
          </w:r>
          <w:r>
            <w:instrText xml:space="preserve"> PAGEREF _Toc5587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_Toc4415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 w:eastAsiaTheme="minorEastAsia"/>
              <w:szCs w:val="22"/>
            </w:rPr>
            <w:t xml:space="preserve">4.4. 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退货处理</w:t>
          </w:r>
          <w:r>
            <w:tab/>
          </w:r>
          <w:r>
            <w:fldChar w:fldCharType="begin"/>
          </w:r>
          <w:r>
            <w:instrText xml:space="preserve"> PAGEREF _Toc4415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asciiTheme="minorEastAsia" w:hAnsiTheme="minorEastAsia"/>
              <w:bCs/>
              <w:lang w:val="zh-CN"/>
            </w:rPr>
            <w:fldChar w:fldCharType="begin"/>
          </w:r>
          <w:r>
            <w:rPr>
              <w:rFonts w:asciiTheme="minorEastAsia" w:hAnsiTheme="minorEastAsia"/>
              <w:bCs/>
              <w:lang w:val="zh-CN"/>
            </w:rPr>
            <w:instrText xml:space="preserve"> HYPERLINK \l _Toc23858 </w:instrText>
          </w:r>
          <w:r>
            <w:rPr>
              <w:rFonts w:asciiTheme="minorEastAsia" w:hAnsiTheme="minorEastAsia"/>
              <w:bCs/>
              <w:lang w:val="zh-CN"/>
            </w:rPr>
            <w:fldChar w:fldCharType="separate"/>
          </w:r>
          <w:r>
            <w:rPr>
              <w:rFonts w:cs="黑体" w:asciiTheme="minorEastAsia" w:hAnsiTheme="minorEastAsia" w:eastAsiaTheme="minorEastAsia"/>
              <w:szCs w:val="22"/>
            </w:rPr>
            <w:t xml:space="preserve">4.5. </w:t>
          </w:r>
          <w:r>
            <w:rPr>
              <w:rFonts w:hint="eastAsia" w:cs="黑体" w:asciiTheme="minorEastAsia" w:hAnsiTheme="minorEastAsia" w:eastAsiaTheme="minorEastAsia"/>
              <w:szCs w:val="22"/>
            </w:rPr>
            <w:t>缺货查询</w:t>
          </w:r>
          <w:r>
            <w:tab/>
          </w:r>
          <w:r>
            <w:fldChar w:fldCharType="begin"/>
          </w:r>
          <w:r>
            <w:instrText xml:space="preserve"> PAGEREF _Toc23858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  <w:p>
          <w:pPr>
            <w:rPr>
              <w:rFonts w:asciiTheme="minorEastAsia" w:hAnsiTheme="minorEastAsia"/>
            </w:rPr>
          </w:pPr>
          <w:r>
            <w:rPr>
              <w:rFonts w:asciiTheme="minorEastAsia" w:hAnsiTheme="minorEastAsia"/>
              <w:bCs/>
              <w:lang w:val="zh-CN"/>
            </w:rPr>
            <w:fldChar w:fldCharType="end"/>
          </w:r>
        </w:p>
      </w:sdtContent>
    </w:sdt>
    <w:p>
      <w:pPr>
        <w:jc w:val="center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br w:type="page"/>
      </w:r>
    </w:p>
    <w:bookmarkEnd w:id="1"/>
    <w:p>
      <w:pPr>
        <w:pStyle w:val="2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cs="黑体" w:asciiTheme="minorEastAsia" w:hAnsiTheme="minorEastAsia"/>
          <w:sz w:val="36"/>
          <w:szCs w:val="36"/>
        </w:rPr>
      </w:pPr>
      <w:bookmarkStart w:id="3" w:name="_Toc21236"/>
      <w:bookmarkStart w:id="4" w:name="_Toc2621"/>
      <w:bookmarkStart w:id="5" w:name="_Toc12509"/>
      <w:bookmarkStart w:id="6" w:name="_Toc11330"/>
      <w:bookmarkStart w:id="7" w:name="_Toc8644"/>
      <w:bookmarkStart w:id="8" w:name="_Toc10220"/>
      <w:bookmarkStart w:id="9" w:name="_Toc12171"/>
      <w:r>
        <w:rPr>
          <w:rFonts w:hint="eastAsia" w:cs="黑体" w:asciiTheme="minorEastAsia" w:hAnsiTheme="minorEastAsia"/>
          <w:sz w:val="36"/>
          <w:szCs w:val="36"/>
        </w:rPr>
        <w:t>使用说明</w:t>
      </w:r>
      <w:bookmarkEnd w:id="3"/>
      <w:bookmarkEnd w:id="4"/>
      <w:bookmarkEnd w:id="5"/>
      <w:bookmarkEnd w:id="6"/>
    </w:p>
    <w:p>
      <w:pPr>
        <w:pStyle w:val="3"/>
        <w:numPr>
          <w:ilvl w:val="1"/>
          <w:numId w:val="1"/>
        </w:numPr>
        <w:spacing w:line="360" w:lineRule="auto"/>
        <w:rPr>
          <w:rFonts w:cs="黑体" w:asciiTheme="minorEastAsia" w:hAnsiTheme="minorEastAsia" w:eastAsiaTheme="minorEastAsia"/>
          <w:szCs w:val="22"/>
        </w:rPr>
      </w:pPr>
      <w:bookmarkStart w:id="10" w:name="_Toc494185300"/>
      <w:bookmarkStart w:id="11" w:name="_Toc7243"/>
      <w:bookmarkStart w:id="12" w:name="_Toc24242"/>
      <w:bookmarkStart w:id="13" w:name="_Toc3854"/>
      <w:bookmarkStart w:id="14" w:name="_Toc488870088"/>
      <w:bookmarkStart w:id="15" w:name="_Toc12067"/>
      <w:bookmarkStart w:id="16" w:name="_Toc488345160"/>
      <w:bookmarkStart w:id="17" w:name="_Toc488346523"/>
      <w:r>
        <w:rPr>
          <w:rFonts w:hint="eastAsia" w:cs="黑体" w:asciiTheme="minorEastAsia" w:hAnsiTheme="minorEastAsia" w:eastAsiaTheme="minorEastAsia"/>
          <w:szCs w:val="22"/>
        </w:rPr>
        <w:t>浏览器要求</w:t>
      </w:r>
      <w:bookmarkEnd w:id="10"/>
      <w:bookmarkEnd w:id="11"/>
      <w:bookmarkEnd w:id="12"/>
      <w:bookmarkEnd w:id="13"/>
      <w:bookmarkEnd w:id="14"/>
      <w:bookmarkEnd w:id="15"/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   平台建议使用谷歌浏览器(</w:t>
      </w:r>
      <w:r>
        <w:rPr>
          <w:rFonts w:ascii="宋体" w:hAnsi="宋体"/>
          <w:szCs w:val="21"/>
        </w:rPr>
        <w:t>Google  Chrome</w:t>
      </w:r>
      <w:r>
        <w:rPr>
          <w:rFonts w:hint="eastAsia" w:ascii="宋体" w:hAnsi="宋体"/>
          <w:szCs w:val="21"/>
        </w:rPr>
        <w:t>)，以保证完全兼容。</w:t>
      </w:r>
    </w:p>
    <w:bookmarkEnd w:id="16"/>
    <w:bookmarkEnd w:id="17"/>
    <w:p>
      <w:pPr>
        <w:pStyle w:val="2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cs="黑体" w:asciiTheme="minorEastAsia" w:hAnsiTheme="minorEastAsia"/>
          <w:sz w:val="36"/>
          <w:szCs w:val="36"/>
        </w:rPr>
      </w:pPr>
      <w:bookmarkStart w:id="18" w:name="_Toc22394"/>
      <w:bookmarkStart w:id="19" w:name="_Toc20488"/>
      <w:bookmarkStart w:id="20" w:name="_Toc14877"/>
      <w:bookmarkStart w:id="21" w:name="_Toc22901"/>
      <w:r>
        <w:rPr>
          <w:rFonts w:hint="eastAsia" w:cs="黑体" w:asciiTheme="minorEastAsia" w:hAnsiTheme="minorEastAsia"/>
          <w:sz w:val="36"/>
          <w:szCs w:val="36"/>
        </w:rPr>
        <w:t>登录</w:t>
      </w:r>
      <w:bookmarkEnd w:id="18"/>
      <w:bookmarkEnd w:id="19"/>
      <w:bookmarkEnd w:id="20"/>
      <w:bookmarkEnd w:id="21"/>
    </w:p>
    <w:p>
      <w:pPr>
        <w:pStyle w:val="3"/>
        <w:numPr>
          <w:ilvl w:val="1"/>
          <w:numId w:val="1"/>
        </w:numPr>
        <w:spacing w:line="360" w:lineRule="auto"/>
        <w:rPr>
          <w:rFonts w:cs="黑体" w:asciiTheme="minorEastAsia" w:hAnsiTheme="minorEastAsia" w:eastAsiaTheme="minorEastAsia"/>
          <w:szCs w:val="22"/>
        </w:rPr>
      </w:pPr>
      <w:bookmarkStart w:id="37" w:name="_GoBack"/>
      <w:bookmarkEnd w:id="37"/>
      <w:bookmarkStart w:id="22" w:name="_Toc18191"/>
      <w:bookmarkStart w:id="23" w:name="_Toc18777"/>
      <w:bookmarkStart w:id="24" w:name="_Toc23344"/>
      <w:bookmarkStart w:id="25" w:name="_Toc23949"/>
      <w:r>
        <w:rPr>
          <w:rFonts w:hint="eastAsia" w:cs="黑体" w:asciiTheme="minorEastAsia" w:hAnsiTheme="minorEastAsia" w:eastAsiaTheme="minorEastAsia"/>
          <w:szCs w:val="22"/>
        </w:rPr>
        <w:t>登录</w:t>
      </w:r>
      <w:bookmarkEnd w:id="22"/>
      <w:bookmarkEnd w:id="23"/>
      <w:bookmarkEnd w:id="24"/>
      <w:bookmarkEnd w:id="25"/>
    </w:p>
    <w:p>
      <w:pPr>
        <w:numPr>
          <w:ilvl w:val="0"/>
          <w:numId w:val="2"/>
        </w:numPr>
        <w:spacing w:line="360" w:lineRule="auto"/>
        <w:ind w:left="420"/>
        <w:rPr>
          <w:rFonts w:ascii="宋体" w:hAnsi="宋体" w:cs="微软雅黑"/>
          <w:kern w:val="44"/>
          <w:szCs w:val="21"/>
        </w:rPr>
      </w:pPr>
      <w:r>
        <w:rPr>
          <w:rFonts w:ascii="宋体" w:hAnsi="宋体" w:cs="微软雅黑"/>
          <w:kern w:val="44"/>
          <w:szCs w:val="21"/>
        </w:rPr>
        <w:t>使用地址</w:t>
      </w:r>
      <w:r>
        <w:rPr>
          <w:rFonts w:hint="eastAsia" w:ascii="宋体" w:hAnsi="宋体" w:cs="微软雅黑"/>
          <w:kern w:val="44"/>
          <w:szCs w:val="21"/>
        </w:rPr>
        <w:t>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"http://hebei.udplat.com/"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6"/>
          <w:rFonts w:ascii="宋体" w:hAnsi="宋体" w:eastAsia="宋体" w:cs="宋体"/>
          <w:sz w:val="24"/>
          <w:szCs w:val="24"/>
        </w:rPr>
        <w:t>http://hebei.udplat.com/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cs="微软雅黑"/>
          <w:kern w:val="44"/>
          <w:szCs w:val="21"/>
          <w:lang w:val="en-US" w:eastAsia="zh-CN"/>
        </w:rPr>
        <w:t>，</w:t>
      </w:r>
      <w:r>
        <w:rPr>
          <w:rFonts w:ascii="宋体" w:hAnsi="宋体" w:cs="微软雅黑"/>
          <w:kern w:val="44"/>
          <w:szCs w:val="21"/>
        </w:rPr>
        <w:t>登录</w:t>
      </w:r>
      <w:r>
        <w:rPr>
          <w:rFonts w:hint="eastAsia" w:ascii="宋体" w:hAnsi="宋体" w:cs="微软雅黑"/>
          <w:kern w:val="44"/>
          <w:szCs w:val="21"/>
        </w:rPr>
        <w:t>平台；</w:t>
      </w:r>
    </w:p>
    <w:p>
      <w:pPr>
        <w:numPr>
          <w:ilvl w:val="0"/>
          <w:numId w:val="2"/>
        </w:numPr>
        <w:spacing w:line="360" w:lineRule="auto"/>
        <w:ind w:left="420"/>
        <w:rPr>
          <w:rFonts w:ascii="宋体" w:hAnsi="宋体" w:cs="微软雅黑"/>
          <w:kern w:val="44"/>
          <w:szCs w:val="21"/>
        </w:rPr>
      </w:pPr>
      <w:r>
        <w:rPr>
          <w:rFonts w:hint="eastAsia" w:ascii="宋体" w:hAnsi="宋体" w:cs="微软雅黑"/>
          <w:kern w:val="44"/>
          <w:szCs w:val="21"/>
        </w:rPr>
        <w:t>进入平台后，</w:t>
      </w:r>
      <w:r>
        <w:rPr>
          <w:rFonts w:hint="eastAsia" w:ascii="宋体" w:hAnsi="宋体" w:cs="微软雅黑"/>
          <w:szCs w:val="21"/>
        </w:rPr>
        <w:t>取得账号密码后，输入用户名和密码，点击【立即登录】进入系统（如下图）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3952875" cy="3629025"/>
            <wp:effectExtent l="0" t="0" r="952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jc w:val="left"/>
      </w:pPr>
      <w:bookmarkStart w:id="26" w:name="_Toc17010"/>
      <w:bookmarkStart w:id="27" w:name="_Toc13390"/>
      <w:r>
        <w:rPr>
          <w:rFonts w:hint="eastAsia"/>
          <w:lang w:val="en-US" w:eastAsia="zh-CN"/>
        </w:rPr>
        <w:t>配送企业首页</w:t>
      </w:r>
      <w:bookmarkEnd w:id="26"/>
      <w:bookmarkEnd w:id="27"/>
    </w:p>
    <w:p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登录系统后，选择耗材交易入口进入，在配送企业首页可以看到待办事项、配送企业产品数量、公告通知、订单金额，耗材产品采购本月排名TOP10和配医疗机构订单金额本月排行TOP10。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5257800" cy="2656205"/>
            <wp:effectExtent l="0" t="0" r="0" b="1079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bookmarkEnd w:id="8"/>
    <w:bookmarkEnd w:id="9"/>
    <w:p>
      <w:pPr>
        <w:pStyle w:val="2"/>
        <w:keepNext w:val="0"/>
        <w:keepLines w:val="0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cs="黑体" w:asciiTheme="minorEastAsia" w:hAnsiTheme="minorEastAsia"/>
          <w:sz w:val="36"/>
          <w:szCs w:val="36"/>
        </w:rPr>
      </w:pPr>
      <w:bookmarkStart w:id="28" w:name="_Toc609"/>
      <w:r>
        <w:rPr>
          <w:rFonts w:hint="eastAsia" w:cs="黑体" w:asciiTheme="minorEastAsia" w:hAnsiTheme="minorEastAsia"/>
          <w:sz w:val="36"/>
          <w:szCs w:val="36"/>
          <w:lang w:val="en-US" w:eastAsia="zh-CN"/>
        </w:rPr>
        <w:t>发货退货</w:t>
      </w:r>
      <w:r>
        <w:rPr>
          <w:rFonts w:hint="eastAsia" w:cs="黑体" w:asciiTheme="minorEastAsia" w:hAnsiTheme="minorEastAsia"/>
          <w:sz w:val="36"/>
          <w:szCs w:val="36"/>
        </w:rPr>
        <w:t>管理</w:t>
      </w:r>
      <w:bookmarkEnd w:id="28"/>
    </w:p>
    <w:p>
      <w:pPr>
        <w:pStyle w:val="3"/>
        <w:numPr>
          <w:ilvl w:val="1"/>
          <w:numId w:val="1"/>
        </w:numPr>
        <w:spacing w:line="360" w:lineRule="auto"/>
        <w:rPr>
          <w:rFonts w:cs="黑体" w:asciiTheme="minorEastAsia" w:hAnsiTheme="minorEastAsia" w:eastAsiaTheme="minorEastAsia"/>
          <w:szCs w:val="22"/>
        </w:rPr>
      </w:pPr>
      <w:bookmarkStart w:id="29" w:name="_Toc28369"/>
      <w:r>
        <w:rPr>
          <w:rFonts w:hint="eastAsia" w:cs="黑体" w:asciiTheme="minorEastAsia" w:hAnsiTheme="minorEastAsia" w:eastAsiaTheme="minorEastAsia"/>
          <w:szCs w:val="22"/>
        </w:rPr>
        <w:t>按订单发货</w:t>
      </w:r>
      <w:bookmarkEnd w:id="29"/>
    </w:p>
    <w:p>
      <w:pPr>
        <w:ind w:firstLine="420"/>
        <w:jc w:val="center"/>
        <w:rPr>
          <w:rFonts w:asciiTheme="minorEastAsia" w:hAnsiTheme="minorEastAsia"/>
        </w:rPr>
      </w:pPr>
      <w:r>
        <w:drawing>
          <wp:inline distT="0" distB="0" distL="114300" distR="114300">
            <wp:extent cx="5270500" cy="2676525"/>
            <wp:effectExtent l="0" t="0" r="6350" b="952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按订单发货页面有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个页签，具体作用如下：</w:t>
      </w:r>
    </w:p>
    <w:tbl>
      <w:tblPr>
        <w:tblStyle w:val="12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待</w:t>
            </w:r>
            <w:r>
              <w:rPr>
                <w:rFonts w:hint="eastAsia" w:asciiTheme="minorEastAsia" w:hAnsiTheme="minorEastAsia"/>
                <w:lang w:val="en-US" w:eastAsia="zh-CN"/>
              </w:rPr>
              <w:t>接单</w:t>
            </w:r>
          </w:p>
        </w:tc>
        <w:tc>
          <w:tcPr>
            <w:tcW w:w="730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配送企业还未</w:t>
            </w:r>
            <w:r>
              <w:rPr>
                <w:rFonts w:hint="eastAsia" w:asciiTheme="minorEastAsia" w:hAnsiTheme="minorEastAsia"/>
                <w:lang w:val="en-US" w:eastAsia="zh-CN"/>
              </w:rPr>
              <w:t>接单</w:t>
            </w:r>
            <w:r>
              <w:rPr>
                <w:rFonts w:hint="eastAsia" w:asciiTheme="minorEastAsia" w:hAnsiTheme="minorEastAsia"/>
              </w:rPr>
              <w:t>的订单，该页面提供查询、发货、</w:t>
            </w:r>
            <w:r>
              <w:rPr>
                <w:rFonts w:hint="eastAsia" w:asciiTheme="minorEastAsia" w:hAnsiTheme="minorEastAsia"/>
                <w:lang w:val="en-US" w:eastAsia="zh-CN"/>
              </w:rPr>
              <w:t>接单</w:t>
            </w:r>
            <w:r>
              <w:rPr>
                <w:rFonts w:hint="eastAsia" w:asciiTheme="minorEastAsia" w:hAnsiTheme="minorEastAsia"/>
              </w:rPr>
              <w:t>、批量导出订单、导出订单明细功能。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执行中</w:t>
            </w:r>
          </w:p>
        </w:tc>
        <w:tc>
          <w:tcPr>
            <w:tcW w:w="730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配送企业未发货完全的订单，该页面提供查询、</w:t>
            </w:r>
            <w:r>
              <w:rPr>
                <w:rFonts w:hint="eastAsia" w:asciiTheme="minorEastAsia" w:hAnsiTheme="minorEastAsia"/>
                <w:lang w:val="en-US" w:eastAsia="zh-CN"/>
              </w:rPr>
              <w:t>补发</w:t>
            </w:r>
            <w:r>
              <w:rPr>
                <w:rFonts w:hint="eastAsia" w:asciiTheme="minorEastAsia" w:hAnsiTheme="minorEastAsia"/>
              </w:rPr>
              <w:t>、修改</w:t>
            </w:r>
            <w:r>
              <w:rPr>
                <w:rFonts w:hint="eastAsia" w:asciiTheme="minorEastAsia" w:hAnsiTheme="minorEastAsia"/>
                <w:lang w:val="en-US" w:eastAsia="zh-CN"/>
              </w:rPr>
              <w:t>发货</w:t>
            </w:r>
            <w:r>
              <w:rPr>
                <w:rFonts w:hint="eastAsia" w:asciiTheme="minorEastAsia" w:hAnsiTheme="minorEastAsia"/>
              </w:rPr>
              <w:t>、批量导出订单、导出订单明细功能。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已</w:t>
            </w:r>
            <w:r>
              <w:rPr>
                <w:rFonts w:hint="eastAsia" w:asciiTheme="minorEastAsia" w:hAnsiTheme="minorEastAsia"/>
                <w:lang w:val="en-US" w:eastAsia="zh-CN"/>
              </w:rPr>
              <w:t>完成</w:t>
            </w:r>
          </w:p>
        </w:tc>
        <w:tc>
          <w:tcPr>
            <w:tcW w:w="730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订单</w:t>
            </w:r>
            <w:r>
              <w:rPr>
                <w:rFonts w:hint="eastAsia" w:asciiTheme="minorEastAsia" w:hAnsiTheme="minorEastAsia"/>
                <w:lang w:val="en-US" w:eastAsia="zh-CN"/>
              </w:rPr>
              <w:t>状态为已完成的所有订单</w:t>
            </w:r>
            <w:r>
              <w:rPr>
                <w:rFonts w:hint="eastAsia" w:asciiTheme="minorEastAsia" w:hAnsiTheme="minorEastAsia"/>
              </w:rPr>
              <w:t>，该页面提供查询、批量导出订单、导出订单明细功能。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全单</w:t>
            </w:r>
            <w:r>
              <w:rPr>
                <w:rFonts w:hint="eastAsia" w:asciiTheme="minorEastAsia" w:hAnsiTheme="minorEastAsia"/>
                <w:lang w:val="en-US" w:eastAsia="zh-CN"/>
              </w:rPr>
              <w:t>订单</w:t>
            </w:r>
          </w:p>
        </w:tc>
        <w:tc>
          <w:tcPr>
            <w:tcW w:w="730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配送企业</w:t>
            </w:r>
            <w:r>
              <w:rPr>
                <w:rFonts w:hint="eastAsia" w:asciiTheme="minorEastAsia" w:hAnsiTheme="minorEastAsia"/>
                <w:lang w:val="en-US" w:eastAsia="zh-CN"/>
              </w:rPr>
              <w:t>所有</w:t>
            </w:r>
            <w:r>
              <w:rPr>
                <w:rFonts w:hint="eastAsia" w:asciiTheme="minorEastAsia" w:hAnsiTheme="minorEastAsia"/>
              </w:rPr>
              <w:t>的订单，该页面提供查询、批量导出订单、导出订单明细功能。</w:t>
            </w:r>
          </w:p>
        </w:tc>
      </w:tr>
    </w:tbl>
    <w:p>
      <w:pPr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发货流程，页面菜单路径：【</w:t>
      </w:r>
      <w:r>
        <w:rPr>
          <w:rFonts w:hint="eastAsia" w:asciiTheme="minorEastAsia" w:hAnsiTheme="minorEastAsia"/>
          <w:lang w:eastAsia="zh-CN"/>
        </w:rPr>
        <w:t>发货退货管理</w:t>
      </w:r>
      <w:r>
        <w:rPr>
          <w:rFonts w:hint="eastAsia" w:asciiTheme="minorEastAsia" w:hAnsiTheme="minorEastAsia"/>
        </w:rPr>
        <w:t>】-【按订单发货】-待</w:t>
      </w:r>
      <w:r>
        <w:rPr>
          <w:rFonts w:hint="eastAsia" w:asciiTheme="minorEastAsia" w:hAnsiTheme="minorEastAsia"/>
          <w:lang w:val="en-US" w:eastAsia="zh-CN"/>
        </w:rPr>
        <w:t>接单</w:t>
      </w:r>
      <w:r>
        <w:rPr>
          <w:rFonts w:hint="eastAsia" w:asciiTheme="minorEastAsia" w:hAnsiTheme="minorEastAsia"/>
        </w:rPr>
        <w:t>页签。</w:t>
      </w:r>
    </w:p>
    <w:p>
      <w:pPr>
        <w:rPr>
          <w:rFonts w:asciiTheme="minorEastAsia" w:hAnsiTheme="minorEastAsia"/>
        </w:rPr>
      </w:pPr>
      <w:r>
        <w:drawing>
          <wp:inline distT="0" distB="0" distL="114300" distR="114300">
            <wp:extent cx="5270500" cy="1380490"/>
            <wp:effectExtent l="0" t="0" r="6350" b="1016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选择一条记录，点击“发货”按钮，进入发货页面，填写发货数量、批次等发货信息，</w:t>
      </w:r>
    </w:p>
    <w:p>
      <w:pPr>
        <w:ind w:firstLine="420"/>
        <w:jc w:val="center"/>
      </w:pPr>
      <w:r>
        <w:drawing>
          <wp:inline distT="0" distB="0" distL="114300" distR="114300">
            <wp:extent cx="5271135" cy="1488440"/>
            <wp:effectExtent l="0" t="0" r="5715" b="1651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</w:pPr>
      <w:r>
        <w:drawing>
          <wp:inline distT="0" distB="0" distL="114300" distR="114300">
            <wp:extent cx="4010025" cy="1314450"/>
            <wp:effectExtent l="0" t="0" r="9525" b="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</w:pPr>
    </w:p>
    <w:p>
      <w:pPr>
        <w:ind w:firstLine="42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点击“</w:t>
      </w:r>
      <w:r>
        <w:rPr>
          <w:rFonts w:hint="eastAsia" w:asciiTheme="minorEastAsia" w:hAnsiTheme="minorEastAsia"/>
          <w:lang w:val="en-US" w:eastAsia="zh-CN"/>
        </w:rPr>
        <w:t>确定</w:t>
      </w:r>
      <w:r>
        <w:rPr>
          <w:rFonts w:hint="eastAsia" w:asciiTheme="minorEastAsia" w:hAnsiTheme="minorEastAsia"/>
        </w:rPr>
        <w:t>”，即创建发送发货单待医疗机构仓管入库确认。</w:t>
      </w:r>
    </w:p>
    <w:p>
      <w:pPr>
        <w:ind w:firstLine="42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如果设置缺货，需要填写缺货责任方以及原因（注：缺货原因填写后，提交订单发货后，无法更改）</w:t>
      </w:r>
    </w:p>
    <w:p>
      <w:pPr>
        <w:ind w:firstLine="420"/>
        <w:rPr>
          <w:rFonts w:hint="eastAsia" w:asciiTheme="minorEastAsia" w:hAnsiTheme="minorEastAsia"/>
        </w:rPr>
      </w:pPr>
      <w:r>
        <w:drawing>
          <wp:inline distT="0" distB="0" distL="114300" distR="114300">
            <wp:extent cx="5271770" cy="993140"/>
            <wp:effectExtent l="0" t="0" r="5080" b="1651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</w:rPr>
        <w:t>注：1、</w:t>
      </w:r>
      <w:r>
        <w:rPr>
          <w:rFonts w:hint="eastAsia" w:asciiTheme="minorEastAsia" w:hAnsiTheme="minorEastAsia"/>
          <w:bCs/>
          <w:szCs w:val="21"/>
        </w:rPr>
        <w:t>发货时可设置缺货。（1）发货数量为0，设置缺货为是。该全部缺货的目录将不会创建发货明细。因此医院在收货时在发货明细中看不到缺货的，可在订单详情或者订单发货跟踪中查看缺货情况（2）发货数量大于0，小于订单数量，设置缺货为是。可理解为目录部分数量缺货，剩余数量不可再发货。</w:t>
      </w:r>
    </w:p>
    <w:p>
      <w:pPr>
        <w:pStyle w:val="3"/>
        <w:numPr>
          <w:ilvl w:val="1"/>
          <w:numId w:val="1"/>
        </w:numPr>
        <w:spacing w:line="360" w:lineRule="auto"/>
        <w:rPr>
          <w:rFonts w:cs="黑体" w:asciiTheme="minorEastAsia" w:hAnsiTheme="minorEastAsia" w:eastAsiaTheme="minorEastAsia"/>
          <w:szCs w:val="22"/>
        </w:rPr>
      </w:pPr>
      <w:bookmarkStart w:id="30" w:name="_Toc31864"/>
      <w:bookmarkStart w:id="31" w:name="_Toc7042"/>
      <w:bookmarkStart w:id="32" w:name="_Toc10102"/>
      <w:bookmarkStart w:id="33" w:name="_Toc16395"/>
      <w:r>
        <w:rPr>
          <w:rFonts w:hint="eastAsia" w:cs="黑体" w:asciiTheme="minorEastAsia" w:hAnsiTheme="minorEastAsia" w:eastAsiaTheme="minorEastAsia"/>
          <w:szCs w:val="22"/>
        </w:rPr>
        <w:t>按</w:t>
      </w:r>
      <w:r>
        <w:rPr>
          <w:rFonts w:hint="eastAsia" w:cs="黑体" w:asciiTheme="minorEastAsia" w:hAnsiTheme="minorEastAsia" w:eastAsiaTheme="minorEastAsia"/>
          <w:szCs w:val="22"/>
          <w:lang w:val="en-US" w:eastAsia="zh-CN"/>
        </w:rPr>
        <w:t>明细</w:t>
      </w:r>
      <w:r>
        <w:rPr>
          <w:rFonts w:hint="eastAsia" w:cs="黑体" w:asciiTheme="minorEastAsia" w:hAnsiTheme="minorEastAsia" w:eastAsiaTheme="minorEastAsia"/>
          <w:szCs w:val="22"/>
        </w:rPr>
        <w:t>发货</w:t>
      </w:r>
      <w:bookmarkEnd w:id="30"/>
    </w:p>
    <w:p>
      <w:r>
        <w:rPr>
          <w:rFonts w:hint="eastAsia"/>
        </w:rPr>
        <w:t>页面菜单路径：【</w:t>
      </w:r>
      <w:r>
        <w:rPr>
          <w:rFonts w:hint="eastAsia"/>
          <w:lang w:eastAsia="zh-CN"/>
        </w:rPr>
        <w:t>发货退货管理</w:t>
      </w:r>
      <w:r>
        <w:rPr>
          <w:rFonts w:hint="eastAsia"/>
        </w:rPr>
        <w:t>】-【按</w:t>
      </w:r>
      <w:r>
        <w:rPr>
          <w:rFonts w:hint="eastAsia"/>
          <w:lang w:val="en-US" w:eastAsia="zh-CN"/>
        </w:rPr>
        <w:t>明细</w:t>
      </w:r>
      <w:r>
        <w:rPr>
          <w:rFonts w:hint="eastAsia"/>
        </w:rPr>
        <w:t>发货】。</w:t>
      </w:r>
    </w:p>
    <w:p>
      <w:pPr>
        <w:rPr>
          <w:rFonts w:hint="eastAsia"/>
        </w:rPr>
      </w:pPr>
      <w:r>
        <w:drawing>
          <wp:inline distT="0" distB="0" distL="114300" distR="114300">
            <wp:extent cx="5271770" cy="2667635"/>
            <wp:effectExtent l="0" t="0" r="5080" b="1841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页面上有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个页签</w:t>
      </w:r>
    </w:p>
    <w:tbl>
      <w:tblPr>
        <w:tblStyle w:val="12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待发货</w:t>
            </w:r>
          </w:p>
        </w:tc>
        <w:tc>
          <w:tcPr>
            <w:tcW w:w="730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配送企业还未发货的订单，该页面提供查询、</w:t>
            </w:r>
            <w:r>
              <w:rPr>
                <w:rFonts w:hint="eastAsia" w:asciiTheme="minorEastAsia" w:hAnsiTheme="minorEastAsia"/>
                <w:lang w:val="en-US" w:eastAsia="zh-CN"/>
              </w:rPr>
              <w:t>确认</w:t>
            </w:r>
            <w:r>
              <w:rPr>
                <w:rFonts w:hint="eastAsia" w:asciiTheme="minorEastAsia" w:hAnsiTheme="minorEastAsia"/>
              </w:rPr>
              <w:t>发货、拆分、</w:t>
            </w:r>
            <w:r>
              <w:rPr>
                <w:rFonts w:hint="eastAsia" w:asciiTheme="minorEastAsia" w:hAnsiTheme="minorEastAsia"/>
                <w:lang w:val="en-US" w:eastAsia="zh-CN"/>
              </w:rPr>
              <w:t>设置</w:t>
            </w:r>
            <w:r>
              <w:rPr>
                <w:rFonts w:hint="eastAsia" w:asciiTheme="minorEastAsia" w:hAnsiTheme="minorEastAsia"/>
              </w:rPr>
              <w:t>缺货功能。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全部</w:t>
            </w:r>
            <w:r>
              <w:rPr>
                <w:rFonts w:hint="eastAsia" w:asciiTheme="minorEastAsia" w:hAnsiTheme="minorEastAsia"/>
              </w:rPr>
              <w:t>发货</w:t>
            </w:r>
          </w:p>
        </w:tc>
        <w:tc>
          <w:tcPr>
            <w:tcW w:w="730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配送企业已发货的订单明细，该页面提供查询、撤</w:t>
            </w:r>
            <w:r>
              <w:rPr>
                <w:rFonts w:hint="eastAsia" w:asciiTheme="minorEastAsia" w:hAnsiTheme="minorEastAsia"/>
                <w:lang w:val="en-US" w:eastAsia="zh-CN"/>
              </w:rPr>
              <w:t>回</w:t>
            </w:r>
            <w:r>
              <w:rPr>
                <w:rFonts w:hint="eastAsia" w:asciiTheme="minorEastAsia" w:hAnsiTheme="minorEastAsia"/>
              </w:rPr>
              <w:t>发货功能。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全部收货</w:t>
            </w:r>
          </w:p>
        </w:tc>
        <w:tc>
          <w:tcPr>
            <w:tcW w:w="730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配送企业发货后，医院</w:t>
            </w:r>
            <w:r>
              <w:rPr>
                <w:rFonts w:hint="eastAsia" w:asciiTheme="minorEastAsia" w:hAnsiTheme="minorEastAsia"/>
                <w:lang w:val="en-US" w:eastAsia="zh-CN"/>
              </w:rPr>
              <w:t>确认收货的</w:t>
            </w:r>
            <w:r>
              <w:rPr>
                <w:rFonts w:hint="eastAsia" w:asciiTheme="minorEastAsia" w:hAnsiTheme="minorEastAsia"/>
              </w:rPr>
              <w:t>明细，该页面提供查询</w:t>
            </w:r>
            <w:r>
              <w:rPr>
                <w:rFonts w:hint="eastAsia" w:asciiTheme="minorEastAsia" w:hAnsiTheme="minorEastAsia"/>
                <w:lang w:val="en-US" w:eastAsia="zh-CN"/>
              </w:rPr>
              <w:t>功能</w:t>
            </w:r>
            <w:r>
              <w:rPr>
                <w:rFonts w:hint="eastAsia" w:asciiTheme="minorEastAsia" w:hAnsiTheme="minor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已作废</w:t>
            </w:r>
          </w:p>
        </w:tc>
        <w:tc>
          <w:tcPr>
            <w:tcW w:w="7307" w:type="dxa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医疗机构发送订单后，在配送企业未提交发货前手工作废</w:t>
            </w:r>
            <w:r>
              <w:rPr>
                <w:rFonts w:hint="eastAsia" w:asciiTheme="minorEastAsia" w:hAnsiTheme="minorEastAsia"/>
              </w:rPr>
              <w:t>的明细，该页面提供查询</w:t>
            </w:r>
            <w:r>
              <w:rPr>
                <w:rFonts w:hint="eastAsia" w:asciiTheme="minorEastAsia" w:hAnsiTheme="minorEastAsia"/>
                <w:lang w:val="en-US" w:eastAsia="zh-CN"/>
              </w:rPr>
              <w:t>功能</w:t>
            </w:r>
            <w:r>
              <w:rPr>
                <w:rFonts w:hint="eastAsia" w:asciiTheme="minorEastAsia" w:hAnsiTheme="minor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缺货列表</w:t>
            </w:r>
          </w:p>
        </w:tc>
        <w:tc>
          <w:tcPr>
            <w:tcW w:w="7307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配送企业部发货时候设置缺货的订单明细，该页面提供查询、查看订单明细功能。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超期</w:t>
            </w:r>
            <w:r>
              <w:rPr>
                <w:rFonts w:hint="eastAsia" w:asciiTheme="minorEastAsia" w:hAnsiTheme="minorEastAsia"/>
              </w:rPr>
              <w:t>列表</w:t>
            </w:r>
          </w:p>
        </w:tc>
        <w:tc>
          <w:tcPr>
            <w:tcW w:w="7307" w:type="dxa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超期未发货的</w:t>
            </w:r>
            <w:r>
              <w:rPr>
                <w:rFonts w:hint="eastAsia" w:asciiTheme="minorEastAsia" w:hAnsiTheme="minorEastAsia"/>
              </w:rPr>
              <w:t>的订单明细，该页面提供查询、查看订单明细功能。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>
            <w:pPr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全部发货明细</w:t>
            </w:r>
          </w:p>
        </w:tc>
        <w:tc>
          <w:tcPr>
            <w:tcW w:w="7307" w:type="dxa"/>
          </w:tcPr>
          <w:p>
            <w:pPr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配送企业所有发货状态的订单明细。</w:t>
            </w:r>
          </w:p>
        </w:tc>
      </w:tr>
    </w:tbl>
    <w:p>
      <w:pPr>
        <w:pStyle w:val="3"/>
        <w:numPr>
          <w:ilvl w:val="1"/>
          <w:numId w:val="1"/>
        </w:numPr>
        <w:spacing w:line="360" w:lineRule="auto"/>
        <w:rPr>
          <w:rFonts w:cs="黑体" w:asciiTheme="minorEastAsia" w:hAnsiTheme="minorEastAsia" w:eastAsiaTheme="minorEastAsia"/>
          <w:szCs w:val="22"/>
        </w:rPr>
      </w:pPr>
      <w:bookmarkStart w:id="34" w:name="_Toc5587"/>
      <w:r>
        <w:rPr>
          <w:rFonts w:hint="eastAsia" w:cs="黑体" w:asciiTheme="minorEastAsia" w:hAnsiTheme="minorEastAsia" w:eastAsiaTheme="minorEastAsia"/>
          <w:szCs w:val="22"/>
        </w:rPr>
        <w:t>补录</w:t>
      </w:r>
      <w:r>
        <w:rPr>
          <w:rFonts w:hint="eastAsia" w:cs="黑体" w:asciiTheme="minorEastAsia" w:hAnsiTheme="minorEastAsia" w:eastAsiaTheme="minorEastAsia"/>
          <w:szCs w:val="22"/>
          <w:lang w:val="en-US" w:eastAsia="zh-CN"/>
        </w:rPr>
        <w:t>单</w:t>
      </w:r>
      <w:r>
        <w:rPr>
          <w:rFonts w:hint="eastAsia" w:cs="黑体" w:asciiTheme="minorEastAsia" w:hAnsiTheme="minorEastAsia" w:eastAsiaTheme="minorEastAsia"/>
          <w:szCs w:val="22"/>
        </w:rPr>
        <w:t>确认</w:t>
      </w:r>
      <w:bookmarkEnd w:id="34"/>
    </w:p>
    <w:p>
      <w:pPr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页面菜单路径：【</w:t>
      </w:r>
      <w:r>
        <w:rPr>
          <w:rFonts w:hint="eastAsia" w:asciiTheme="minorEastAsia" w:hAnsiTheme="minorEastAsia"/>
          <w:lang w:eastAsia="zh-CN"/>
        </w:rPr>
        <w:t>发货退货管理</w:t>
      </w:r>
      <w:r>
        <w:rPr>
          <w:rFonts w:hint="eastAsia" w:asciiTheme="minorEastAsia" w:hAnsiTheme="minorEastAsia"/>
        </w:rPr>
        <w:t>】-【补录</w:t>
      </w:r>
      <w:r>
        <w:rPr>
          <w:rFonts w:hint="eastAsia" w:asciiTheme="minorEastAsia" w:hAnsiTheme="minorEastAsia"/>
          <w:lang w:val="en-US" w:eastAsia="zh-CN"/>
        </w:rPr>
        <w:t>单</w:t>
      </w:r>
      <w:r>
        <w:rPr>
          <w:rFonts w:hint="eastAsia" w:asciiTheme="minorEastAsia" w:hAnsiTheme="minorEastAsia"/>
        </w:rPr>
        <w:t>确认】-待确认页签。</w:t>
      </w:r>
    </w:p>
    <w:p>
      <w:pPr>
        <w:rPr>
          <w:rFonts w:hint="eastAsia"/>
        </w:rPr>
      </w:pPr>
      <w:r>
        <w:drawing>
          <wp:inline distT="0" distB="0" distL="114300" distR="114300">
            <wp:extent cx="5266690" cy="2666365"/>
            <wp:effectExtent l="0" t="0" r="10160" b="63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勾选待确认的明细，点击“批量确认”按钮，在确认页面</w:t>
      </w:r>
    </w:p>
    <w:p>
      <w:pPr>
        <w:rPr>
          <w:rFonts w:hint="eastAsia" w:asciiTheme="minorEastAsia" w:hAnsiTheme="minorEastAsia"/>
        </w:rPr>
      </w:pPr>
      <w:r>
        <w:drawing>
          <wp:inline distT="0" distB="0" distL="114300" distR="114300">
            <wp:extent cx="5262245" cy="1886585"/>
            <wp:effectExtent l="0" t="0" r="14605" b="18415"/>
            <wp:docPr id="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Theme="minorEastAsia" w:hAnsiTheme="minorEastAsia"/>
        </w:rPr>
        <w:t>审核信息之后，订单确认通过或订单确认不通过。</w:t>
      </w:r>
    </w:p>
    <w:p>
      <w:pPr>
        <w:pStyle w:val="3"/>
        <w:numPr>
          <w:ilvl w:val="1"/>
          <w:numId w:val="1"/>
        </w:numPr>
        <w:spacing w:line="360" w:lineRule="auto"/>
        <w:rPr>
          <w:rFonts w:cs="黑体" w:asciiTheme="minorEastAsia" w:hAnsiTheme="minorEastAsia" w:eastAsiaTheme="minorEastAsia"/>
          <w:szCs w:val="22"/>
        </w:rPr>
      </w:pPr>
      <w:bookmarkStart w:id="35" w:name="_Toc4415"/>
      <w:r>
        <w:rPr>
          <w:rFonts w:hint="eastAsia" w:cs="黑体" w:asciiTheme="minorEastAsia" w:hAnsiTheme="minorEastAsia" w:eastAsiaTheme="minorEastAsia"/>
          <w:szCs w:val="22"/>
        </w:rPr>
        <w:t>退货</w:t>
      </w:r>
      <w:bookmarkEnd w:id="31"/>
      <w:bookmarkEnd w:id="32"/>
      <w:bookmarkEnd w:id="33"/>
      <w:r>
        <w:rPr>
          <w:rFonts w:hint="eastAsia" w:cs="黑体" w:asciiTheme="minorEastAsia" w:hAnsiTheme="minorEastAsia" w:eastAsiaTheme="minorEastAsia"/>
          <w:szCs w:val="22"/>
        </w:rPr>
        <w:t>处理</w:t>
      </w:r>
      <w:bookmarkEnd w:id="35"/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页面菜单路径：【</w:t>
      </w:r>
      <w:r>
        <w:rPr>
          <w:rFonts w:hint="eastAsia" w:asciiTheme="minorEastAsia" w:hAnsiTheme="minorEastAsia"/>
          <w:lang w:eastAsia="zh-CN"/>
        </w:rPr>
        <w:t>发货退货管理</w:t>
      </w:r>
      <w:r>
        <w:rPr>
          <w:rFonts w:hint="eastAsia" w:asciiTheme="minorEastAsia" w:hAnsiTheme="minorEastAsia"/>
        </w:rPr>
        <w:t>】-【退货</w:t>
      </w:r>
      <w:r>
        <w:rPr>
          <w:rFonts w:hint="eastAsia" w:asciiTheme="minorEastAsia" w:hAnsiTheme="minorEastAsia"/>
          <w:lang w:val="en-US" w:eastAsia="zh-CN"/>
        </w:rPr>
        <w:t>确认</w:t>
      </w:r>
      <w:r>
        <w:rPr>
          <w:rFonts w:hint="eastAsia" w:asciiTheme="minorEastAsia" w:hAnsiTheme="minorEastAsia"/>
        </w:rPr>
        <w:t>】-</w:t>
      </w:r>
      <w:r>
        <w:rPr>
          <w:rFonts w:hint="eastAsia" w:asciiTheme="minorEastAsia" w:hAnsiTheme="minorEastAsia"/>
          <w:lang w:val="en-US" w:eastAsia="zh-CN"/>
        </w:rPr>
        <w:t xml:space="preserve"> </w:t>
      </w:r>
      <w:r>
        <w:rPr>
          <w:rFonts w:hint="eastAsia" w:asciiTheme="minorEastAsia" w:hAnsiTheme="minorEastAsia"/>
        </w:rPr>
        <w:t>待确认页签。勾选待确认的退货明细，批量设置消退发票和消退清单，点击“批量确认”按钮。或勾选待确认的退货明细，点击“批量退回”按钮。</w:t>
      </w:r>
    </w:p>
    <w:p>
      <w:pPr>
        <w:rPr>
          <w:rFonts w:asciiTheme="minorEastAsia" w:hAnsiTheme="minorEastAsia"/>
        </w:rPr>
      </w:pPr>
      <w:r>
        <w:drawing>
          <wp:inline distT="0" distB="0" distL="114300" distR="114300">
            <wp:extent cx="5260340" cy="2637155"/>
            <wp:effectExtent l="0" t="0" r="16510" b="1079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pStyle w:val="3"/>
        <w:numPr>
          <w:ilvl w:val="1"/>
          <w:numId w:val="1"/>
        </w:numPr>
        <w:spacing w:line="360" w:lineRule="auto"/>
        <w:rPr>
          <w:rFonts w:cs="黑体" w:asciiTheme="minorEastAsia" w:hAnsiTheme="minorEastAsia" w:eastAsiaTheme="minorEastAsia"/>
          <w:szCs w:val="22"/>
        </w:rPr>
      </w:pPr>
      <w:bookmarkStart w:id="36" w:name="_Toc23858"/>
      <w:r>
        <w:rPr>
          <w:rFonts w:hint="eastAsia" w:cs="黑体" w:asciiTheme="minorEastAsia" w:hAnsiTheme="minorEastAsia" w:eastAsiaTheme="minorEastAsia"/>
          <w:szCs w:val="22"/>
        </w:rPr>
        <w:t>缺货查询</w:t>
      </w:r>
      <w:bookmarkEnd w:id="36"/>
    </w:p>
    <w:p>
      <w:pPr>
        <w:ind w:firstLine="420"/>
      </w:pPr>
      <w:r>
        <w:rPr>
          <w:rFonts w:hint="eastAsia" w:asciiTheme="minorEastAsia" w:hAnsiTheme="minorEastAsia"/>
        </w:rPr>
        <w:t>页面菜单路径：【</w:t>
      </w:r>
      <w:r>
        <w:rPr>
          <w:rFonts w:hint="eastAsia" w:asciiTheme="minorEastAsia" w:hAnsiTheme="minorEastAsia"/>
          <w:lang w:eastAsia="zh-CN"/>
        </w:rPr>
        <w:t>发货退货管理</w:t>
      </w:r>
      <w:r>
        <w:rPr>
          <w:rFonts w:hint="eastAsia" w:asciiTheme="minorEastAsia" w:hAnsiTheme="minorEastAsia"/>
        </w:rPr>
        <w:t>】-【缺货查询】。查询发货时候设置了缺货的订单明细，</w:t>
      </w:r>
    </w:p>
    <w:p>
      <w:r>
        <w:drawing>
          <wp:inline distT="0" distB="0" distL="114300" distR="114300">
            <wp:extent cx="5257800" cy="2645410"/>
            <wp:effectExtent l="0" t="0" r="0" b="254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查询：根据条件查询结果。</w:t>
      </w:r>
    </w:p>
    <w:p>
      <w:pPr>
        <w:pStyle w:val="18"/>
        <w:numPr>
          <w:ilvl w:val="0"/>
          <w:numId w:val="3"/>
        </w:numPr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导出</w:t>
      </w:r>
      <w:r>
        <w:rPr>
          <w:rFonts w:hint="eastAsia" w:asciiTheme="minorEastAsia" w:hAnsiTheme="minorEastAsia"/>
        </w:rPr>
        <w:t>：选择需要导出的数据，点击“导出订单明细”按钮，即可将数据导出并保存到本地。</w:t>
      </w:r>
    </w:p>
    <w:p>
      <w:pPr>
        <w:pStyle w:val="18"/>
        <w:numPr>
          <w:ilvl w:val="0"/>
          <w:numId w:val="0"/>
        </w:numPr>
        <w:ind w:left="420" w:leftChars="0" w:firstLine="420" w:firstLineChars="0"/>
        <w:rPr>
          <w:rFonts w:asciiTheme="minorEastAsia" w:hAnsi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M8qNURAgAACQQAAA4AAABkcnMvZTJvRG9jLnhtbK1TzY7TMBC+I/EO&#10;lu80adGu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Azyo1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90E5"/>
    <w:multiLevelType w:val="singleLevel"/>
    <w:tmpl w:val="59F690E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D4B1C64"/>
    <w:multiLevelType w:val="multilevel"/>
    <w:tmpl w:val="6D4B1C64"/>
    <w:lvl w:ilvl="0" w:tentative="0">
      <w:start w:val="1"/>
      <w:numFmt w:val="decimal"/>
      <w:lvlText w:val="（%1）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207142"/>
    <w:multiLevelType w:val="multilevel"/>
    <w:tmpl w:val="7E207142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A5359"/>
    <w:rsid w:val="000039A4"/>
    <w:rsid w:val="0001019B"/>
    <w:rsid w:val="00044D83"/>
    <w:rsid w:val="0007617F"/>
    <w:rsid w:val="000840E1"/>
    <w:rsid w:val="000D4CEF"/>
    <w:rsid w:val="000E3375"/>
    <w:rsid w:val="000E59AF"/>
    <w:rsid w:val="000F09B2"/>
    <w:rsid w:val="00124FF9"/>
    <w:rsid w:val="00140886"/>
    <w:rsid w:val="00161F84"/>
    <w:rsid w:val="00167350"/>
    <w:rsid w:val="001779CE"/>
    <w:rsid w:val="0018495C"/>
    <w:rsid w:val="00184D04"/>
    <w:rsid w:val="001872FE"/>
    <w:rsid w:val="00196273"/>
    <w:rsid w:val="001B204E"/>
    <w:rsid w:val="001C5426"/>
    <w:rsid w:val="001C787C"/>
    <w:rsid w:val="001D0965"/>
    <w:rsid w:val="001E4FDF"/>
    <w:rsid w:val="002026D5"/>
    <w:rsid w:val="00241A2A"/>
    <w:rsid w:val="0024605D"/>
    <w:rsid w:val="00246D04"/>
    <w:rsid w:val="00250C0B"/>
    <w:rsid w:val="00251713"/>
    <w:rsid w:val="00263505"/>
    <w:rsid w:val="0026673D"/>
    <w:rsid w:val="00272A1E"/>
    <w:rsid w:val="0028543D"/>
    <w:rsid w:val="00285C24"/>
    <w:rsid w:val="002E7C6A"/>
    <w:rsid w:val="002F3574"/>
    <w:rsid w:val="002F70C9"/>
    <w:rsid w:val="00326E21"/>
    <w:rsid w:val="00346556"/>
    <w:rsid w:val="00353971"/>
    <w:rsid w:val="00393CE7"/>
    <w:rsid w:val="0039750D"/>
    <w:rsid w:val="003A735C"/>
    <w:rsid w:val="003A7F8D"/>
    <w:rsid w:val="003B3E8A"/>
    <w:rsid w:val="003D5819"/>
    <w:rsid w:val="003F03E1"/>
    <w:rsid w:val="003F0B86"/>
    <w:rsid w:val="00403C66"/>
    <w:rsid w:val="004050E8"/>
    <w:rsid w:val="0042141E"/>
    <w:rsid w:val="00446FA9"/>
    <w:rsid w:val="0045288A"/>
    <w:rsid w:val="004917B7"/>
    <w:rsid w:val="004A08AD"/>
    <w:rsid w:val="004C5428"/>
    <w:rsid w:val="004D2D33"/>
    <w:rsid w:val="004E5EEF"/>
    <w:rsid w:val="005020E0"/>
    <w:rsid w:val="005210D5"/>
    <w:rsid w:val="00544FC2"/>
    <w:rsid w:val="005525B9"/>
    <w:rsid w:val="005715E9"/>
    <w:rsid w:val="005A4021"/>
    <w:rsid w:val="005B7379"/>
    <w:rsid w:val="005C1654"/>
    <w:rsid w:val="005F304D"/>
    <w:rsid w:val="005F4730"/>
    <w:rsid w:val="0060193F"/>
    <w:rsid w:val="0061612C"/>
    <w:rsid w:val="00630D3F"/>
    <w:rsid w:val="00635981"/>
    <w:rsid w:val="0064273F"/>
    <w:rsid w:val="00647A65"/>
    <w:rsid w:val="0065333F"/>
    <w:rsid w:val="006535D6"/>
    <w:rsid w:val="00671E07"/>
    <w:rsid w:val="0067417D"/>
    <w:rsid w:val="006D052B"/>
    <w:rsid w:val="006D124E"/>
    <w:rsid w:val="006D35C3"/>
    <w:rsid w:val="006E7A73"/>
    <w:rsid w:val="006F1323"/>
    <w:rsid w:val="00713A7A"/>
    <w:rsid w:val="00720A46"/>
    <w:rsid w:val="00721858"/>
    <w:rsid w:val="00723D71"/>
    <w:rsid w:val="00741A50"/>
    <w:rsid w:val="00762747"/>
    <w:rsid w:val="00763DBE"/>
    <w:rsid w:val="00777849"/>
    <w:rsid w:val="007808D4"/>
    <w:rsid w:val="0078194B"/>
    <w:rsid w:val="00796D57"/>
    <w:rsid w:val="007A6329"/>
    <w:rsid w:val="007B1C01"/>
    <w:rsid w:val="007C2D7E"/>
    <w:rsid w:val="007D024D"/>
    <w:rsid w:val="007E2096"/>
    <w:rsid w:val="007E5FE3"/>
    <w:rsid w:val="007F2F0E"/>
    <w:rsid w:val="007F4B5C"/>
    <w:rsid w:val="007F70A8"/>
    <w:rsid w:val="00803E8E"/>
    <w:rsid w:val="00812314"/>
    <w:rsid w:val="008175FA"/>
    <w:rsid w:val="00822389"/>
    <w:rsid w:val="00832738"/>
    <w:rsid w:val="00841C81"/>
    <w:rsid w:val="00846103"/>
    <w:rsid w:val="008628F0"/>
    <w:rsid w:val="00865525"/>
    <w:rsid w:val="00873290"/>
    <w:rsid w:val="00884B59"/>
    <w:rsid w:val="00884C4D"/>
    <w:rsid w:val="00886D39"/>
    <w:rsid w:val="008C70D2"/>
    <w:rsid w:val="008D2862"/>
    <w:rsid w:val="008F607C"/>
    <w:rsid w:val="00900658"/>
    <w:rsid w:val="0090799C"/>
    <w:rsid w:val="00920DC7"/>
    <w:rsid w:val="00921388"/>
    <w:rsid w:val="00962399"/>
    <w:rsid w:val="00976307"/>
    <w:rsid w:val="00982E1E"/>
    <w:rsid w:val="009842EB"/>
    <w:rsid w:val="00984B80"/>
    <w:rsid w:val="009A2A82"/>
    <w:rsid w:val="009D2773"/>
    <w:rsid w:val="009D50AA"/>
    <w:rsid w:val="009F2430"/>
    <w:rsid w:val="00A04C16"/>
    <w:rsid w:val="00A24A47"/>
    <w:rsid w:val="00A269FF"/>
    <w:rsid w:val="00A35D70"/>
    <w:rsid w:val="00A36630"/>
    <w:rsid w:val="00A41E0F"/>
    <w:rsid w:val="00A4365D"/>
    <w:rsid w:val="00A5021D"/>
    <w:rsid w:val="00A81319"/>
    <w:rsid w:val="00A96F03"/>
    <w:rsid w:val="00AA0629"/>
    <w:rsid w:val="00AB7BD6"/>
    <w:rsid w:val="00AC0F19"/>
    <w:rsid w:val="00B07095"/>
    <w:rsid w:val="00B11BDB"/>
    <w:rsid w:val="00B5301B"/>
    <w:rsid w:val="00B555F7"/>
    <w:rsid w:val="00B57E6A"/>
    <w:rsid w:val="00B60322"/>
    <w:rsid w:val="00B71408"/>
    <w:rsid w:val="00B96400"/>
    <w:rsid w:val="00BB0738"/>
    <w:rsid w:val="00BB3708"/>
    <w:rsid w:val="00BC651E"/>
    <w:rsid w:val="00BF43EE"/>
    <w:rsid w:val="00BF4659"/>
    <w:rsid w:val="00BF7662"/>
    <w:rsid w:val="00C0454E"/>
    <w:rsid w:val="00C202CB"/>
    <w:rsid w:val="00C35500"/>
    <w:rsid w:val="00C544E6"/>
    <w:rsid w:val="00C5468A"/>
    <w:rsid w:val="00C74CD1"/>
    <w:rsid w:val="00C806CC"/>
    <w:rsid w:val="00CA723E"/>
    <w:rsid w:val="00CB0BB3"/>
    <w:rsid w:val="00CB58D1"/>
    <w:rsid w:val="00CC1555"/>
    <w:rsid w:val="00CD07BC"/>
    <w:rsid w:val="00CD1E78"/>
    <w:rsid w:val="00CD7B31"/>
    <w:rsid w:val="00CE2836"/>
    <w:rsid w:val="00CF1030"/>
    <w:rsid w:val="00CF2410"/>
    <w:rsid w:val="00CF33AB"/>
    <w:rsid w:val="00D008A4"/>
    <w:rsid w:val="00D33139"/>
    <w:rsid w:val="00D51033"/>
    <w:rsid w:val="00D51518"/>
    <w:rsid w:val="00D52564"/>
    <w:rsid w:val="00D942CC"/>
    <w:rsid w:val="00DA1757"/>
    <w:rsid w:val="00DD6FBB"/>
    <w:rsid w:val="00DE1549"/>
    <w:rsid w:val="00DF557C"/>
    <w:rsid w:val="00E0005F"/>
    <w:rsid w:val="00E02B50"/>
    <w:rsid w:val="00E10DA8"/>
    <w:rsid w:val="00E15E63"/>
    <w:rsid w:val="00E41ABF"/>
    <w:rsid w:val="00E43852"/>
    <w:rsid w:val="00E5061F"/>
    <w:rsid w:val="00E555A6"/>
    <w:rsid w:val="00E701B4"/>
    <w:rsid w:val="00E70282"/>
    <w:rsid w:val="00E72170"/>
    <w:rsid w:val="00E7667E"/>
    <w:rsid w:val="00EB1215"/>
    <w:rsid w:val="00EC2838"/>
    <w:rsid w:val="00F05C1F"/>
    <w:rsid w:val="00F1639E"/>
    <w:rsid w:val="00F23348"/>
    <w:rsid w:val="00F254B3"/>
    <w:rsid w:val="00F50660"/>
    <w:rsid w:val="00F72E56"/>
    <w:rsid w:val="00F83591"/>
    <w:rsid w:val="00F8463F"/>
    <w:rsid w:val="00F86F8C"/>
    <w:rsid w:val="00FB36F8"/>
    <w:rsid w:val="00FC5116"/>
    <w:rsid w:val="00FD6EBC"/>
    <w:rsid w:val="00FE3D40"/>
    <w:rsid w:val="028163CF"/>
    <w:rsid w:val="02AC7103"/>
    <w:rsid w:val="02CB7C10"/>
    <w:rsid w:val="04DE10D8"/>
    <w:rsid w:val="05365B9D"/>
    <w:rsid w:val="06BC6CDE"/>
    <w:rsid w:val="088B10B0"/>
    <w:rsid w:val="08AC0297"/>
    <w:rsid w:val="0966724C"/>
    <w:rsid w:val="0A40700A"/>
    <w:rsid w:val="0BEA5359"/>
    <w:rsid w:val="0DC556E7"/>
    <w:rsid w:val="0E3620AD"/>
    <w:rsid w:val="0F7F4D8F"/>
    <w:rsid w:val="10EB300B"/>
    <w:rsid w:val="11765567"/>
    <w:rsid w:val="11E31A50"/>
    <w:rsid w:val="125E0BA4"/>
    <w:rsid w:val="134E4618"/>
    <w:rsid w:val="13AF27D1"/>
    <w:rsid w:val="156D19B9"/>
    <w:rsid w:val="15722936"/>
    <w:rsid w:val="16B33585"/>
    <w:rsid w:val="16B665DB"/>
    <w:rsid w:val="180F6544"/>
    <w:rsid w:val="187912CC"/>
    <w:rsid w:val="1A272B79"/>
    <w:rsid w:val="1C28101C"/>
    <w:rsid w:val="1CF94CCF"/>
    <w:rsid w:val="1D172C3A"/>
    <w:rsid w:val="1F186A36"/>
    <w:rsid w:val="1F7B652B"/>
    <w:rsid w:val="1FFC6B8E"/>
    <w:rsid w:val="206536B2"/>
    <w:rsid w:val="21242711"/>
    <w:rsid w:val="224239F9"/>
    <w:rsid w:val="235D6874"/>
    <w:rsid w:val="248D337A"/>
    <w:rsid w:val="262C0871"/>
    <w:rsid w:val="266A5152"/>
    <w:rsid w:val="26C52416"/>
    <w:rsid w:val="2BE10CB9"/>
    <w:rsid w:val="30307DB2"/>
    <w:rsid w:val="32A83991"/>
    <w:rsid w:val="331C7FF2"/>
    <w:rsid w:val="355B55E0"/>
    <w:rsid w:val="37491876"/>
    <w:rsid w:val="383A5FDE"/>
    <w:rsid w:val="3A577055"/>
    <w:rsid w:val="3A63295B"/>
    <w:rsid w:val="3DAB750F"/>
    <w:rsid w:val="3DC75898"/>
    <w:rsid w:val="3DE42E5A"/>
    <w:rsid w:val="3E332327"/>
    <w:rsid w:val="3E604765"/>
    <w:rsid w:val="3EC57542"/>
    <w:rsid w:val="41C21FEA"/>
    <w:rsid w:val="43693C16"/>
    <w:rsid w:val="45CA5ED6"/>
    <w:rsid w:val="460E5300"/>
    <w:rsid w:val="47F24397"/>
    <w:rsid w:val="48557349"/>
    <w:rsid w:val="48EE590B"/>
    <w:rsid w:val="49222258"/>
    <w:rsid w:val="49D45EF3"/>
    <w:rsid w:val="4AB378FC"/>
    <w:rsid w:val="4AF03662"/>
    <w:rsid w:val="4B067569"/>
    <w:rsid w:val="4B4333E6"/>
    <w:rsid w:val="4BED60C3"/>
    <w:rsid w:val="4CE65337"/>
    <w:rsid w:val="4D9756E1"/>
    <w:rsid w:val="4E03282E"/>
    <w:rsid w:val="4EC0370B"/>
    <w:rsid w:val="4ED46584"/>
    <w:rsid w:val="4EED6A6D"/>
    <w:rsid w:val="50796CDD"/>
    <w:rsid w:val="50DB4E13"/>
    <w:rsid w:val="5140045C"/>
    <w:rsid w:val="51C74CC0"/>
    <w:rsid w:val="51DC02FA"/>
    <w:rsid w:val="52D24413"/>
    <w:rsid w:val="55B503CF"/>
    <w:rsid w:val="56FD3534"/>
    <w:rsid w:val="59AD050C"/>
    <w:rsid w:val="5AC509AE"/>
    <w:rsid w:val="5B353304"/>
    <w:rsid w:val="5BC95876"/>
    <w:rsid w:val="5BE73A8D"/>
    <w:rsid w:val="5FF74D61"/>
    <w:rsid w:val="61D65008"/>
    <w:rsid w:val="623359CB"/>
    <w:rsid w:val="62873371"/>
    <w:rsid w:val="637726F8"/>
    <w:rsid w:val="641E12DB"/>
    <w:rsid w:val="65916C4B"/>
    <w:rsid w:val="67236C6B"/>
    <w:rsid w:val="67534D77"/>
    <w:rsid w:val="67A2128D"/>
    <w:rsid w:val="68ED153B"/>
    <w:rsid w:val="6A503A57"/>
    <w:rsid w:val="6A586536"/>
    <w:rsid w:val="6ADB2404"/>
    <w:rsid w:val="6FD15B6C"/>
    <w:rsid w:val="70BE178D"/>
    <w:rsid w:val="727647B1"/>
    <w:rsid w:val="730D2483"/>
    <w:rsid w:val="737427FE"/>
    <w:rsid w:val="73892FE8"/>
    <w:rsid w:val="75B1269B"/>
    <w:rsid w:val="75CA4711"/>
    <w:rsid w:val="782E6BA6"/>
    <w:rsid w:val="79C12DBA"/>
    <w:rsid w:val="7B4F5FA7"/>
    <w:rsid w:val="7BC002C6"/>
    <w:rsid w:val="7BF630E0"/>
    <w:rsid w:val="7C4F11AD"/>
    <w:rsid w:val="7C6E4456"/>
    <w:rsid w:val="7D181001"/>
    <w:rsid w:val="7D6E62A0"/>
    <w:rsid w:val="7E25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840" w:leftChars="4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qFormat/>
    <w:uiPriority w:val="99"/>
    <w:rPr>
      <w:color w:val="003366"/>
      <w:u w:val="none"/>
    </w:rPr>
  </w:style>
  <w:style w:type="character" w:customStyle="1" w:styleId="17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D9EC8-7EA4-450B-9B2E-CA2B4E9D3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790</Words>
  <Characters>4508</Characters>
  <Lines>37</Lines>
  <Paragraphs>10</Paragraphs>
  <TotalTime>0</TotalTime>
  <ScaleCrop>false</ScaleCrop>
  <LinksUpToDate>false</LinksUpToDate>
  <CharactersWithSpaces>5288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2018-05-24T01:58:00Z</dcterms:created>
  <dc:creator>0614</dc:creator>
  <cp:lastModifiedBy>桃子</cp:lastModifiedBy>
  <dcterms:modified xsi:type="dcterms:W3CDTF">2020-08-04T11:37:03Z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