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CESI小标宋-GB2312" w:hAnsi="CESI小标宋-GB2312" w:eastAsia="CESI小标宋-GB2312" w:cs="CESI小标宋-GB2312"/>
          <w:bCs/>
          <w:sz w:val="36"/>
          <w:szCs w:val="36"/>
        </w:rPr>
      </w:pP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中医药特色健康管理服务包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（肺中低危结节）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一、个人基本信息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姓名、性别、年龄、民族、身份证号、电话号码、婚姻状况、职业、吸烟史、二手烟或环境油烟吸入史、职业致癌物质暴露史、近期生活事件、性格基础、慢性肺部疾病史、个人和家族肿瘤史、治疗经过及转归。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二、体检项目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中医体检项目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1.舌脉诊；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2.体质辨识；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3.四诊合参，收集该病种不同证候的主症、次症、舌、脉特点。注意证候的动态变化。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（二）西医体检项目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1.必查项目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（1）胸部CT扫描；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（2）中医体质量表；中医症状评分；症状自评量表。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2.选查项目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（1）肿瘤标志物：胃泌素释放肽前体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神经特异性烯醇化酶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癌胚抗原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细胞角蛋白片段19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鳞状细胞癌抗原；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（2）纤维支气管镜；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（3）胸部X光片；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（4）胸部磁共振。</w:t>
      </w:r>
    </w:p>
    <w:p>
      <w:pPr>
        <w:pStyle w:val="5"/>
        <w:tabs>
          <w:tab w:val="left" w:pos="3261"/>
          <w:tab w:val="left" w:pos="5812"/>
        </w:tabs>
        <w:snapToGrid w:val="0"/>
        <w:spacing w:before="0" w:beforeAutospacing="0" w:after="0" w:afterAutospacing="0" w:line="560" w:lineRule="exact"/>
        <w:ind w:firstLine="640" w:firstLineChars="200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三、中医治疗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（一）辨证选择口服中药汤剂或中成药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1.肺郁痰瘀证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治法：宣肺理气、化痰逐瘀；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常用中药汤剂：星夏涤痰汤加减（周岱翰方）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2.脾虚痰湿证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治法：健脾燥湿、理气化痰；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常用中药汤剂：岑苓白术散合六君子汤加减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3.阴虚痰热证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治法：养阴润肺，化痰散结；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常用中药汤剂：百合固金汤加减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4.气阴两虚证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治法：益气养阴、消痰散结；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常用中药汤剂：固本磨积汤加减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5.气滞血瘀证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治法：行气活血、化瘀散结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常用中药汤剂：桃红四物汤加减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6.肾阳亏虚证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治法：温阳散寒、消肿散结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常用中药汤剂：金匮肾气丸加减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7.瘀毒互结证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治法：补阳化瘀、解毒散结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常用中药汤剂：补肾化瘀毒方加减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（二）中医特色疗法</w:t>
      </w:r>
    </w:p>
    <w:p>
      <w:pPr>
        <w:pStyle w:val="5"/>
        <w:snapToGrid w:val="0"/>
        <w:spacing w:before="0" w:beforeAutospacing="0" w:after="0" w:afterAutospacing="0" w:line="560" w:lineRule="exact"/>
        <w:ind w:left="159" w:leftChars="76"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1.针刺治疗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（1）体针疗法：</w:t>
      </w:r>
    </w:p>
    <w:p>
      <w:pPr>
        <w:pStyle w:val="5"/>
        <w:snapToGrid w:val="0"/>
        <w:spacing w:before="0" w:beforeAutospacing="0" w:after="0" w:afterAutospacing="0" w:line="560" w:lineRule="exact"/>
        <w:ind w:left="2238" w:leftChars="304" w:hanging="1600" w:hanging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气滞血瘀：肺俞、定喘、孔最、风门、云门、气海、膈俞。泻法，留针30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分钟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left="2238" w:leftChars="304" w:hanging="1600" w:hanging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脾虚痰湿：大都、太白、肺俞、丰隆、足三里、太渊、地机、三阴交、商丘。平补平泻，留针30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分钟。</w:t>
      </w:r>
    </w:p>
    <w:p>
      <w:pPr>
        <w:pStyle w:val="5"/>
        <w:snapToGrid w:val="0"/>
        <w:spacing w:before="0" w:beforeAutospacing="0" w:after="0" w:afterAutospacing="0" w:line="560" w:lineRule="exact"/>
        <w:ind w:left="2238" w:leftChars="304" w:hanging="1600" w:hanging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阴虚毒热：涌泉、水泉、太溪、阴陵泉、肺俞、三阴交、大椎、合谷。泻法，留针30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分钟。</w:t>
      </w:r>
    </w:p>
    <w:p>
      <w:pPr>
        <w:pStyle w:val="5"/>
        <w:snapToGrid w:val="0"/>
        <w:spacing w:before="0" w:beforeAutospacing="0" w:after="0" w:afterAutospacing="0" w:line="560" w:lineRule="exact"/>
        <w:ind w:left="2238" w:leftChars="304" w:hanging="1600" w:hanging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气阴两虚：百会、足三里、气海、关元、膻中、阴陵泉、三阴交、合谷、太冲、太溪。补法，留针30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分钟。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埋针疗法：</w:t>
      </w:r>
    </w:p>
    <w:p>
      <w:pPr>
        <w:pStyle w:val="5"/>
        <w:snapToGrid w:val="0"/>
        <w:spacing w:before="0" w:beforeAutospacing="0" w:after="0" w:afterAutospacing="0" w:line="560" w:lineRule="exact"/>
        <w:ind w:left="64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穴：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肺俞、膈俞、肾俞或背部压痛点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操作：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常规消毒针具和埋针穴位后，将针纵行刺入皮下，无刺痛感后采用胶布固定，每次留针3-5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天，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一周埋针1次。共治疗4周。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2.耳穴疗法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取穴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肺、神门、气管、角窝中、平喘、交感、脾、肺、胸、肾等。肿瘤特异区1两耳交替放血、贴豆。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操作：治疗前先用耳穴探测棒在耳穴上寻找阳性点，用75%酒精消毒耳廓后，用耳针或将粘有王不留行籽的胶布对准选定的耳穴贴紧并加压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酸麻胀痛或发热感。年老体弱、倦怠纳差者用轻手法，嘱患者每天自行按压2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3次，每次每穴30秒。隔日1次，5次为1个疗程。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3.穴位贴敷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常用方药：巴戟天、黄芪、生川乌、土鳖虫、细辛、麝香、生南星、山慈菇、乳香、没药。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操作：涌泉、三阴交、关元、气海、命门、中府、膈俞、肺俞等穴进行贴敷,每隔3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4日更换1次。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四、健康指导建议</w:t>
      </w:r>
    </w:p>
    <w:p>
      <w:pPr>
        <w:snapToGrid w:val="0"/>
        <w:spacing w:line="560" w:lineRule="exact"/>
        <w:ind w:firstLine="642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（一）饮食调摄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规律作息，少食多餐，睡前忌暴饮暴食。少吃肥厚油腻不易消化食物，尽量不吃动物内脏。忌生冷、辛辣刺激性食物，忌烟酒、浓茶、咖啡。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ind w:left="959" w:leftChars="304" w:hanging="321" w:hangingChars="100"/>
        <w:textAlignment w:val="auto"/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药膳指南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.沙参玉竹煲老鸭汤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沙参</w:t>
      </w:r>
      <w:r>
        <w:rPr>
          <w:rFonts w:ascii="仿宋_GB2312" w:hAnsi="仿宋_GB2312" w:eastAsia="仿宋_GB2312" w:cs="仿宋_GB2312"/>
          <w:bCs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克，玉竹</w:t>
      </w:r>
      <w:r>
        <w:rPr>
          <w:rFonts w:ascii="仿宋_GB2312" w:hAnsi="仿宋_GB2312" w:eastAsia="仿宋_GB2312" w:cs="仿宋_GB2312"/>
          <w:bCs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克，老鸭（大者半只，小者一只）。先将老鸭去毛及内脏洗净，切粗件；沙参、玉竹洗净。用中火至文火煲煮一个半小时，调味即可。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滋阴润肺，养胃生津。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党参淮山炖瘦肉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党参</w:t>
      </w:r>
      <w:r>
        <w:rPr>
          <w:rFonts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克，淮山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药</w:t>
      </w:r>
      <w:r>
        <w:rPr>
          <w:rFonts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克，瘦肉</w:t>
      </w:r>
      <w:r>
        <w:rPr>
          <w:rFonts w:ascii="仿宋_GB2312" w:hAnsi="仿宋_GB2312" w:eastAsia="仿宋_GB2312" w:cs="仿宋_GB2312"/>
          <w:bCs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克。将党参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山药、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瘦肉一起放进炖盅，加水</w:t>
      </w:r>
      <w:r>
        <w:rPr>
          <w:rFonts w:ascii="仿宋_GB2312" w:hAnsi="仿宋_GB2312" w:eastAsia="仿宋_GB2312" w:cs="仿宋_GB2312"/>
          <w:bCs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毫升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，隔水炖</w:t>
      </w:r>
      <w:r>
        <w:rPr>
          <w:rFonts w:ascii="仿宋_GB2312" w:hAnsi="仿宋_GB2312" w:eastAsia="仿宋_GB2312" w:cs="仿宋_GB2312"/>
          <w:bCs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分钟，调味后即可服用，上午服用效更佳。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健脾益气。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3.黑木耳瘦肉汤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猪瘦肉</w:t>
      </w:r>
      <w:r>
        <w:rPr>
          <w:rFonts w:ascii="仿宋_GB2312" w:hAnsi="仿宋_GB2312" w:eastAsia="仿宋_GB2312" w:cs="仿宋_GB2312"/>
          <w:bCs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、黑木耳</w:t>
      </w: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克、盐适量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将黑木耳浸泡</w:t>
      </w:r>
      <w:r>
        <w:rPr>
          <w:rFonts w:ascii="仿宋_GB2312" w:hAnsi="仿宋_GB2312" w:eastAsia="仿宋_GB2312" w:cs="仿宋_GB2312"/>
          <w:bCs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分钟，猪瘦肉洗净切片，加入少量盐、生粉搅拌均匀；砂锅中加入水</w:t>
      </w:r>
      <w:r>
        <w:rPr>
          <w:rFonts w:ascii="仿宋_GB2312" w:hAnsi="仿宋_GB2312" w:eastAsia="仿宋_GB2312" w:cs="仿宋_GB2312"/>
          <w:bCs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毫升，先放入黑木耳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煎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32"/>
          <w:szCs w:val="32"/>
        </w:rPr>
        <w:t>煮</w:t>
      </w:r>
      <w:r>
        <w:rPr>
          <w:rFonts w:ascii="仿宋_GB2312" w:hAnsi="仿宋_GB2312" w:eastAsia="仿宋_GB2312" w:cs="仿宋_GB2312"/>
          <w:bCs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分钟；将瘦肉放入，水沸后</w:t>
      </w:r>
      <w:r>
        <w:rPr>
          <w:rFonts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分钟调味服用。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活血化瘀，益气养血。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4.川贝炖瘦肉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川贝</w:t>
      </w:r>
      <w:r>
        <w:rPr>
          <w:rFonts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克，瘦肉</w:t>
      </w:r>
      <w:r>
        <w:rPr>
          <w:rFonts w:ascii="仿宋_GB2312" w:hAnsi="仿宋_GB2312" w:eastAsia="仿宋_GB2312" w:cs="仿宋_GB2312"/>
          <w:bCs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克。川贝、猪瘦肉一同放入炖盅，加水适量，隔水炖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小时，适量调味即成。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润肺化痰止咳。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5.百合蒸梨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百合</w:t>
      </w:r>
      <w:r>
        <w:rPr>
          <w:rFonts w:ascii="仿宋_GB2312" w:hAnsi="仿宋_GB2312" w:eastAsia="仿宋_GB2312" w:cs="仿宋_GB2312"/>
          <w:bCs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克，雪梨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个，冰糖适量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将雪梨去皮核，切片，与百合、冰糖同入锅中，加清水适量煮至烂熟后服食。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润肺止咳。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（三）药茶指导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bookmarkStart w:id="0" w:name="_Hlk97645017"/>
      <w:r>
        <w:rPr>
          <w:rFonts w:hint="eastAsia" w:ascii="仿宋_GB2312" w:hAnsi="仿宋_GB2312" w:eastAsia="仿宋_GB2312" w:cs="仿宋_GB2312"/>
          <w:bCs/>
          <w:sz w:val="32"/>
          <w:szCs w:val="32"/>
        </w:rPr>
        <w:t>太子参茶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太子参</w:t>
      </w:r>
      <w:r>
        <w:rPr>
          <w:rFonts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克。将太子参放在砂锅或不绣钢锅，加水</w:t>
      </w:r>
      <w:r>
        <w:rPr>
          <w:rFonts w:ascii="仿宋_GB2312" w:hAnsi="仿宋_GB2312" w:eastAsia="仿宋_GB2312" w:cs="仿宋_GB2312"/>
          <w:bCs/>
          <w:sz w:val="32"/>
          <w:szCs w:val="32"/>
        </w:rPr>
        <w:t>600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毫升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，煎</w:t>
      </w:r>
      <w:r>
        <w:rPr>
          <w:rFonts w:ascii="仿宋_GB2312" w:hAnsi="仿宋_GB2312" w:eastAsia="仿宋_GB2312" w:cs="仿宋_GB2312"/>
          <w:bCs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益气养阴。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.三花茶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茉莉花、菊花、玫瑰花各</w: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克。沸水冲泡，代茶饮。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疏肝解郁。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麦冬泡茶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麦冬</w:t>
      </w:r>
      <w:r>
        <w:rPr>
          <w:rFonts w:ascii="仿宋_GB2312" w:hAnsi="仿宋_GB2312" w:eastAsia="仿宋_GB2312" w:cs="仿宋_GB2312"/>
          <w:bCs/>
          <w:sz w:val="32"/>
          <w:szCs w:val="32"/>
        </w:rPr>
        <w:t>6-15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克。可将麦冬</w:t>
      </w:r>
      <w:r>
        <w:rPr>
          <w:rFonts w:ascii="仿宋_GB2312" w:hAnsi="仿宋_GB2312" w:eastAsia="仿宋_GB2312" w:cs="仿宋_GB2312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克放入沸水中浸泡约</w:t>
      </w:r>
      <w:r>
        <w:rPr>
          <w:rFonts w:ascii="仿宋_GB2312" w:hAnsi="仿宋_GB2312" w:eastAsia="仿宋_GB2312" w:cs="仿宋_GB2312"/>
          <w:bCs/>
          <w:sz w:val="32"/>
          <w:szCs w:val="32"/>
        </w:rPr>
        <w:t>15-20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分钟后饮用。或将麦冬</w:t>
      </w:r>
      <w:r>
        <w:rPr>
          <w:rFonts w:ascii="仿宋_GB2312" w:hAnsi="仿宋_GB2312" w:eastAsia="仿宋_GB2312" w:cs="仿宋_GB2312"/>
          <w:bCs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克，放入清水</w:t>
      </w:r>
      <w:r>
        <w:rPr>
          <w:rFonts w:ascii="仿宋_GB2312" w:hAnsi="仿宋_GB2312" w:eastAsia="仿宋_GB2312" w:cs="仿宋_GB2312"/>
          <w:bCs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毫升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，在砂锅中煎煮约</w:t>
      </w:r>
      <w:r>
        <w:rPr>
          <w:rFonts w:ascii="仿宋_GB2312" w:hAnsi="仿宋_GB2312" w:eastAsia="仿宋_GB2312" w:cs="仿宋_GB2312"/>
          <w:bCs/>
          <w:sz w:val="32"/>
          <w:szCs w:val="32"/>
        </w:rPr>
        <w:t>15-20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分钟后饮用。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养肺润燥，清热除烦。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5.枸杞茶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枸杞子</w: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克，绿茶</w:t>
      </w: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克。用开水冲泡，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补肾益精、养肝明目。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西洋参田七茶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西洋参</w:t>
      </w:r>
      <w:r>
        <w:rPr>
          <w:rFonts w:ascii="仿宋_GB2312" w:hAnsi="仿宋_GB2312" w:eastAsia="仿宋_GB2312" w:cs="仿宋_GB2312"/>
          <w:bCs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克，田七</w:t>
      </w: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克。将西洋参，田七置砂锅或不绣钢锅，加水</w:t>
      </w:r>
      <w:r>
        <w:rPr>
          <w:rFonts w:ascii="仿宋_GB2312" w:hAnsi="仿宋_GB2312" w:eastAsia="仿宋_GB2312" w:cs="仿宋_GB2312"/>
          <w:bCs/>
          <w:sz w:val="32"/>
          <w:szCs w:val="32"/>
        </w:rPr>
        <w:t>600ml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，煎煮</w:t>
      </w:r>
      <w:r>
        <w:rPr>
          <w:rFonts w:ascii="仿宋_GB2312" w:hAnsi="仿宋_GB2312" w:eastAsia="仿宋_GB2312" w:cs="仿宋_GB2312"/>
          <w:bCs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后服用用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益气养阴，活血化瘀。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桔红茶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桔红</w: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ascii="仿宋_GB2312" w:hAnsi="仿宋_GB2312" w:eastAsia="仿宋_GB2312" w:cs="仿宋_GB2312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克、绿茶</w:t>
      </w: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克。用开水冲泡再放锅内隔水蒸</w:t>
      </w:r>
      <w:r>
        <w:rPr>
          <w:rFonts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分钟后服用。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润肺消痰，理气止咳。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kern w:val="0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bidi="ar-SA"/>
        </w:rPr>
        <w:t>（四）自我保健手法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肩井、肺俞穴：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取坐位，先用左手中指指尖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按揉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右侧</w:t>
      </w:r>
      <w:r>
        <w:fldChar w:fldCharType="begin"/>
      </w:r>
      <w:r>
        <w:instrText xml:space="preserve"> HYPERLINK "https://www.pingguolv.com/zhongyi/30964.html" \t "_blank" </w:instrText>
      </w:r>
      <w:r>
        <w:fldChar w:fldCharType="separate"/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肩井穴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fldChar w:fldCharType="end"/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，中指指尖按肺俞穴，按揉2分钟，然后换右手照上法按揉左肺俞穴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、左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侧</w:t>
      </w:r>
      <w:r>
        <w:fldChar w:fldCharType="begin"/>
      </w:r>
      <w:r>
        <w:instrText xml:space="preserve"> HYPERLINK "https://www.pingguolv.com/zhongyi/30964.html" \t "_blank" </w:instrText>
      </w:r>
      <w:r>
        <w:fldChar w:fldCharType="separate"/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肩井穴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fldChar w:fldCharType="end"/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交替进行。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Chars="125"/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3309620</wp:posOffset>
            </wp:positionV>
            <wp:extent cx="1314450" cy="1352550"/>
            <wp:effectExtent l="19050" t="0" r="0" b="0"/>
            <wp:wrapTight wrapText="bothSides">
              <wp:wrapPolygon>
                <wp:start x="0" y="0"/>
                <wp:lineTo x="0" y="21296"/>
                <wp:lineTo x="21287" y="21296"/>
                <wp:lineTo x="21287" y="0"/>
                <wp:lineTo x="0" y="0"/>
              </wp:wrapPolygon>
            </wp:wrapTight>
            <wp:docPr id="12" name="图片 2" descr="C:\Users\Dell\AppData\Local\Temp\WeChat Files\f4d929d025d8bb0b504e69e2205ca04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C:\Users\Dell\AppData\Local\Temp\WeChat Files\f4d929d025d8bb0b504e69e2205ca04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825" cy="135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bCs/>
          <w:sz w:val="32"/>
          <w:szCs w:val="32"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74930</wp:posOffset>
            </wp:positionV>
            <wp:extent cx="1285875" cy="1466850"/>
            <wp:effectExtent l="19050" t="0" r="9525" b="0"/>
            <wp:wrapTopAndBottom/>
            <wp:docPr id="11" name="图片 1" descr="C:\Users\Dell\AppData\Local\Temp\WeChat Files\c3e1a78433c6020eae7ecc312ae1ace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C:\Users\Dell\AppData\Local\Temp\WeChat Files\c3e1a78433c6020eae7ecc312ae1ace.jpg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859" cy="146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膻中穴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按揉：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拇指或由手掌大鱼际部先顺时针后逆时针方向各按揉20次，反复10次。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②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擦法：拇指或手掌大鱼际部由上向下按擦即可，持续5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-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0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分钟。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③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推法：两只手掌面自膻中穴沿胸肋向两侧推抹至侧腰部20次。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④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温灸法：用扶阳罐温灸即可，每次35分钟。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3.中脘穴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用手掌大鱼际按顺时针方向按揉中脘穴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，每次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5分钟。</w:t>
      </w:r>
    </w:p>
    <w:p>
      <w:pPr>
        <w:jc w:val="center"/>
      </w:pPr>
      <w:r>
        <w:drawing>
          <wp:inline distT="0" distB="0" distL="0" distR="0">
            <wp:extent cx="1602105" cy="1543050"/>
            <wp:effectExtent l="0" t="0" r="17145" b="0"/>
            <wp:docPr id="8" name="图片 3" descr="C:\Users\Dell\AppData\Local\Temp\WeChat Files\861c333350a903faa94336b0dbbef6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Dell\AppData\Local\Temp\WeChat Files\861c333350a903faa94336b0dbbef69.jpg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073" cy="154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rPr>
          <w:rFonts w:ascii="微软雅黑" w:hAnsi="微软雅黑" w:eastAsia="微软雅黑"/>
          <w:color w:val="2F2F2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4.肾俞穴：用大拇指指腹按压在肾俞穴的位置，依顺时针方向进行旋转按揉，每次按揉5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10分钟，直至出现酸胀感，且腰部微微发热。也可将双手摩擦至热后，将掌心贴于肾俞穴，进行摩擦，每次10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15分钟。</w:t>
      </w:r>
    </w:p>
    <w:p>
      <w:pPr>
        <w:jc w:val="center"/>
      </w:pPr>
      <w:r>
        <w:drawing>
          <wp:inline distT="0" distB="0" distL="0" distR="0">
            <wp:extent cx="1524000" cy="1485900"/>
            <wp:effectExtent l="0" t="0" r="0" b="0"/>
            <wp:docPr id="9" name="图片 4" descr="C:\Users\Dell\AppData\Local\Temp\WeChat Files\137ec89321e2893287eeea40d41c09d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C:\Users\Dell\AppData\Local\Temp\WeChat Files\137ec89321e2893287eeea40d41c09d.jpg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183" cy="148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val="en-US" w:bidi="ar-SA"/>
        </w:rPr>
      </w:pPr>
      <w:bookmarkStart w:id="1" w:name="_Hlk97525334"/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bidi="ar-SA"/>
        </w:rPr>
        <w:t>（五）情志调养</w:t>
      </w:r>
      <w:bookmarkEnd w:id="1"/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肺郁痰瘀证。可选用《黄河颂》《潇湘水云》《嘎达梅林》等商调式音乐曲目，以调节肺功能，促进人体气机升发条畅；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阴虚痰热证。可选用《阳春白雪》宫音和徵调式、以及商音结合的音乐曲目，以平衡肺气；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脾虚痰湿证。可选用《秋湖月夜》《鸟投林》《闲居吟》等宫调式音乐曲目，以调节脾胃升降功能，促进全身气机稳定；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肾阳不足证。可选用《昭君怨》《塞上曲》等羽调式音乐曲目，以助养肾气，促进人体气机下降。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kern w:val="0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bidi="ar-SA"/>
        </w:rPr>
        <w:t>（六）运动养护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1.五禽戏：虎戏主肝，疏肝理气；鹿戏主肾，益气补肾；熊戏主脾，调理脾胃；猿戏主心，养心补脑；鸟戏主肺，补肺宽胸。</w:t>
      </w:r>
    </w:p>
    <w:p>
      <w:pPr>
        <w:pStyle w:val="10"/>
        <w:shd w:val="clear" w:color="auto" w:fill="auto"/>
        <w:tabs>
          <w:tab w:val="left" w:pos="630"/>
          <w:tab w:val="left" w:pos="1369"/>
        </w:tabs>
        <w:snapToGrid w:val="0"/>
        <w:spacing w:line="560" w:lineRule="exact"/>
        <w:ind w:left="634" w:leftChars="302" w:firstLine="4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太极拳：属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于中国传统武术的一种，具有中正舒缓、</w:t>
      </w:r>
    </w:p>
    <w:p>
      <w:pPr>
        <w:pStyle w:val="10"/>
        <w:shd w:val="clear" w:color="auto" w:fill="auto"/>
        <w:tabs>
          <w:tab w:val="left" w:pos="630"/>
          <w:tab w:val="left" w:pos="1369"/>
        </w:tabs>
        <w:snapToGrid w:val="0"/>
        <w:spacing w:line="560" w:lineRule="exact"/>
        <w:ind w:left="640" w:hanging="640" w:hanging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轻灵圆活、刚柔相济的特点。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br w:type="textWrapping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八段锦：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双手托天理三焦，左右开弓似射雕，调理脾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胃须单举，五劳七伤往后瞧，摇头摆尾去心火，双手攀足固肾腰，攥拳怒目增气力，背后七颠百病消。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六字诀呼吸法：（饭前，饭后半小时内不能练）用鼻吸气，用口呼气。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= 1 \* GB3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”）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:两唇微合，嘴角横绷，略向后用力 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= 2 \* GB3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②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”）</w:t>
      </w:r>
      <w:r>
        <w:rPr>
          <w:rFonts w:ascii="仿宋_GB2312" w:hAnsi="仿宋_GB2312" w:eastAsia="仿宋_GB2312" w:cs="仿宋_GB2312"/>
          <w:bCs/>
          <w:sz w:val="32"/>
          <w:szCs w:val="32"/>
        </w:rPr>
        <w:t>:口半张，舌平放于口内，舌尖轻顶下齿，下颌放松。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= 3 \* GB3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③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”）</w:t>
      </w:r>
      <w:r>
        <w:rPr>
          <w:rFonts w:ascii="仿宋_GB2312" w:hAnsi="仿宋_GB2312" w:eastAsia="仿宋_GB2312" w:cs="仿宋_GB2312"/>
          <w:bCs/>
          <w:sz w:val="32"/>
          <w:szCs w:val="32"/>
        </w:rPr>
        <w:t>:撮口如管状，舌放在中央两侧向上微卷。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= 4 \* GB3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④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bCs/>
          <w:sz w:val="32"/>
          <w:szCs w:val="32"/>
        </w:rPr>
        <w:t>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bCs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bCs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”）</w:t>
      </w:r>
      <w:r>
        <w:rPr>
          <w:rFonts w:ascii="仿宋_GB2312" w:hAnsi="仿宋_GB2312" w:eastAsia="仿宋_GB2312" w:cs="仿宋_GB2312"/>
          <w:bCs/>
          <w:sz w:val="32"/>
          <w:szCs w:val="32"/>
        </w:rPr>
        <w:t>:开口张腭，舌尖轻抵下腭。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= 5 \* GB3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⑤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”）</w:t>
      </w:r>
      <w:r>
        <w:rPr>
          <w:rFonts w:ascii="仿宋_GB2312" w:hAnsi="仿宋_GB2312" w:eastAsia="仿宋_GB2312" w:cs="仿宋_GB2312"/>
          <w:bCs/>
          <w:sz w:val="32"/>
          <w:szCs w:val="32"/>
        </w:rPr>
        <w:t>:撮口，两嘴角向后咧，舌尖微向上翘。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= 6 \* GB3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⑥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”）</w:t>
      </w:r>
      <w:r>
        <w:rPr>
          <w:rFonts w:ascii="仿宋_GB2312" w:hAnsi="仿宋_GB2312" w:eastAsia="仿宋_GB2312" w:cs="仿宋_GB2312"/>
          <w:bCs/>
          <w:sz w:val="32"/>
          <w:szCs w:val="32"/>
        </w:rPr>
        <w:t>:两唇微启，有嘻笑自得之貌，怡然自得之心。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CESI黑体-GB2312" w:hAnsi="CESI黑体-GB2312" w:eastAsia="CESI黑体-GB2312" w:cs="CESI黑体-GB2312"/>
          <w:bCs/>
          <w:kern w:val="0"/>
          <w:sz w:val="32"/>
          <w:szCs w:val="32"/>
          <w:lang w:val="en-US" w:bidi="ar-SA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bidi="ar-SA"/>
        </w:rPr>
        <w:t>五、跟踪问效</w:t>
      </w:r>
    </w:p>
    <w:p>
      <w:pPr>
        <w:pStyle w:val="10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依托互联网、微信公众号等，通过“互联网+健康管理”手段，对</w:t>
      </w:r>
      <w:r>
        <w:rPr>
          <w:rFonts w:hint="eastAsia" w:eastAsia="仿宋_GB2312" w:cs="仿宋_GB2312" w:asciiTheme="minorHAnsi" w:hAnsiTheme="minorHAnsi"/>
          <w:bCs/>
          <w:kern w:val="0"/>
          <w:sz w:val="32"/>
          <w:szCs w:val="32"/>
          <w:lang w:val="en-US" w:bidi="ar-SA"/>
        </w:rPr>
        <w:t>肺中低危结节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患者的饮食、运动、用药效果及合并症进行控制干预、持续跟踪和具体指导。同时通过定期回访，了解肺微小结节控制情况，改善综合干预模式内容，达到科学缩小肺结节的目的。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- 11 -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78EC0"/>
    <w:multiLevelType w:val="singleLevel"/>
    <w:tmpl w:val="BF778E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EA13A8"/>
    <w:multiLevelType w:val="singleLevel"/>
    <w:tmpl w:val="3FEA13A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355"/>
    <w:rsid w:val="00002B17"/>
    <w:rsid w:val="00022A96"/>
    <w:rsid w:val="000A04D5"/>
    <w:rsid w:val="000B003E"/>
    <w:rsid w:val="000D5621"/>
    <w:rsid w:val="000E47DD"/>
    <w:rsid w:val="000F5CED"/>
    <w:rsid w:val="00102D2E"/>
    <w:rsid w:val="0013539B"/>
    <w:rsid w:val="001707C5"/>
    <w:rsid w:val="002001C1"/>
    <w:rsid w:val="00251C2F"/>
    <w:rsid w:val="00255F6D"/>
    <w:rsid w:val="002601AC"/>
    <w:rsid w:val="002747D0"/>
    <w:rsid w:val="002A778B"/>
    <w:rsid w:val="00376AC3"/>
    <w:rsid w:val="00383760"/>
    <w:rsid w:val="00392580"/>
    <w:rsid w:val="003E25C4"/>
    <w:rsid w:val="003F571C"/>
    <w:rsid w:val="004033DF"/>
    <w:rsid w:val="00416A97"/>
    <w:rsid w:val="00480F58"/>
    <w:rsid w:val="004A7A48"/>
    <w:rsid w:val="00500190"/>
    <w:rsid w:val="00502565"/>
    <w:rsid w:val="0051039A"/>
    <w:rsid w:val="005308D6"/>
    <w:rsid w:val="00640636"/>
    <w:rsid w:val="006751AB"/>
    <w:rsid w:val="00704B7D"/>
    <w:rsid w:val="00727EA8"/>
    <w:rsid w:val="00747E98"/>
    <w:rsid w:val="00753355"/>
    <w:rsid w:val="00783A10"/>
    <w:rsid w:val="00795E48"/>
    <w:rsid w:val="00803BAF"/>
    <w:rsid w:val="008C52E9"/>
    <w:rsid w:val="008E5E90"/>
    <w:rsid w:val="00992389"/>
    <w:rsid w:val="009C0C7B"/>
    <w:rsid w:val="009E42DE"/>
    <w:rsid w:val="009E6B77"/>
    <w:rsid w:val="00A76AEA"/>
    <w:rsid w:val="00AA6B19"/>
    <w:rsid w:val="00BD101A"/>
    <w:rsid w:val="00C91155"/>
    <w:rsid w:val="00D02262"/>
    <w:rsid w:val="00D10053"/>
    <w:rsid w:val="00D13265"/>
    <w:rsid w:val="00D568BF"/>
    <w:rsid w:val="00D81FD8"/>
    <w:rsid w:val="00D96E87"/>
    <w:rsid w:val="00DA2D79"/>
    <w:rsid w:val="00E00961"/>
    <w:rsid w:val="00E124A6"/>
    <w:rsid w:val="00E14887"/>
    <w:rsid w:val="00E32334"/>
    <w:rsid w:val="00EA0843"/>
    <w:rsid w:val="00ED1EA4"/>
    <w:rsid w:val="00EE3E2F"/>
    <w:rsid w:val="00F244F7"/>
    <w:rsid w:val="00F540B4"/>
    <w:rsid w:val="00FA057E"/>
    <w:rsid w:val="00FB5E2D"/>
    <w:rsid w:val="00FE6203"/>
    <w:rsid w:val="00FF4486"/>
    <w:rsid w:val="0F845C61"/>
    <w:rsid w:val="0FFB918F"/>
    <w:rsid w:val="165F3B96"/>
    <w:rsid w:val="18FF14E4"/>
    <w:rsid w:val="1EC77A4C"/>
    <w:rsid w:val="2A85A2DF"/>
    <w:rsid w:val="32E7AA55"/>
    <w:rsid w:val="3AF5EB5F"/>
    <w:rsid w:val="3CFB0FE4"/>
    <w:rsid w:val="3EFE3B1A"/>
    <w:rsid w:val="3FBDC831"/>
    <w:rsid w:val="41FEC6C4"/>
    <w:rsid w:val="47FF0751"/>
    <w:rsid w:val="4A6B338A"/>
    <w:rsid w:val="4ABF170F"/>
    <w:rsid w:val="573F74EA"/>
    <w:rsid w:val="57B7BC64"/>
    <w:rsid w:val="57BF60E8"/>
    <w:rsid w:val="5AAC3332"/>
    <w:rsid w:val="5BFF7549"/>
    <w:rsid w:val="5C612453"/>
    <w:rsid w:val="6AF58409"/>
    <w:rsid w:val="6D0D6A83"/>
    <w:rsid w:val="6EEFFE34"/>
    <w:rsid w:val="6F5000B2"/>
    <w:rsid w:val="71FDBA13"/>
    <w:rsid w:val="71FFD14A"/>
    <w:rsid w:val="73FD2014"/>
    <w:rsid w:val="74FB3D13"/>
    <w:rsid w:val="74FBBB43"/>
    <w:rsid w:val="767B155A"/>
    <w:rsid w:val="76FC692B"/>
    <w:rsid w:val="77B3E6CC"/>
    <w:rsid w:val="7D3D445E"/>
    <w:rsid w:val="7DDF73F6"/>
    <w:rsid w:val="7ECD0ECA"/>
    <w:rsid w:val="7FB5213F"/>
    <w:rsid w:val="7FE1B676"/>
    <w:rsid w:val="7FFDE4AE"/>
    <w:rsid w:val="7FFE0EA1"/>
    <w:rsid w:val="7FFF30FD"/>
    <w:rsid w:val="87E858C9"/>
    <w:rsid w:val="8F7FB87A"/>
    <w:rsid w:val="9A73C030"/>
    <w:rsid w:val="A5BCA92E"/>
    <w:rsid w:val="B6FD437D"/>
    <w:rsid w:val="B6FE443B"/>
    <w:rsid w:val="B779B7F4"/>
    <w:rsid w:val="B7FBC928"/>
    <w:rsid w:val="BCB15573"/>
    <w:rsid w:val="BEED8169"/>
    <w:rsid w:val="BFCA67E8"/>
    <w:rsid w:val="BFD6E750"/>
    <w:rsid w:val="CDF4E849"/>
    <w:rsid w:val="CE6C33FB"/>
    <w:rsid w:val="CFEDE933"/>
    <w:rsid w:val="DBEFA8E7"/>
    <w:rsid w:val="DDF1F297"/>
    <w:rsid w:val="DE7FA8F8"/>
    <w:rsid w:val="DFAA26FA"/>
    <w:rsid w:val="DFFA0589"/>
    <w:rsid w:val="E7EE685D"/>
    <w:rsid w:val="EC5B67D9"/>
    <w:rsid w:val="EEDF04A9"/>
    <w:rsid w:val="EF792CE7"/>
    <w:rsid w:val="EFAFD1DB"/>
    <w:rsid w:val="EFFFA677"/>
    <w:rsid w:val="F3F3C7B7"/>
    <w:rsid w:val="F58FBBF4"/>
    <w:rsid w:val="F7FAC1E4"/>
    <w:rsid w:val="F9F9D158"/>
    <w:rsid w:val="F9FB6895"/>
    <w:rsid w:val="FA5E19E3"/>
    <w:rsid w:val="FB6EC574"/>
    <w:rsid w:val="FB6FF4B8"/>
    <w:rsid w:val="FF728C1D"/>
    <w:rsid w:val="FF7F642F"/>
    <w:rsid w:val="FF9CABD7"/>
    <w:rsid w:val="FFC7AD6C"/>
    <w:rsid w:val="FFF6650F"/>
    <w:rsid w:val="FF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正文文本1"/>
    <w:basedOn w:val="1"/>
    <w:qFormat/>
    <w:uiPriority w:val="0"/>
    <w:pPr>
      <w:shd w:val="clear" w:color="auto" w:fill="FFFFFF"/>
      <w:spacing w:line="324" w:lineRule="auto"/>
      <w:ind w:firstLine="400"/>
    </w:pPr>
    <w:rPr>
      <w:rFonts w:ascii="新宋体" w:hAnsi="新宋体" w:eastAsia="新宋体" w:cs="新宋体"/>
      <w:sz w:val="36"/>
      <w:szCs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639</Words>
  <Characters>3648</Characters>
  <Lines>30</Lines>
  <Paragraphs>8</Paragraphs>
  <TotalTime>15</TotalTime>
  <ScaleCrop>false</ScaleCrop>
  <LinksUpToDate>false</LinksUpToDate>
  <CharactersWithSpaces>4279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USER</dc:creator>
  <cp:lastModifiedBy>baixin</cp:lastModifiedBy>
  <cp:lastPrinted>2022-03-13T22:44:00Z</cp:lastPrinted>
  <dcterms:modified xsi:type="dcterms:W3CDTF">2022-11-07T18:45:33Z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296C128562AA44C585B4C29CDECB4C70</vt:lpwstr>
  </property>
</Properties>
</file>