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40" w:lineRule="exact"/>
        <w:rPr>
          <w:rFonts w:ascii="黑体" w:hAnsi="黑体" w:eastAsia="黑体" w:cs="黑体"/>
          <w:bCs/>
          <w:sz w:val="32"/>
          <w:szCs w:val="32"/>
        </w:rPr>
      </w:pPr>
      <w:r>
        <w:rPr>
          <w:rFonts w:hint="eastAsia" w:ascii="黑体" w:hAnsi="黑体" w:eastAsia="黑体" w:cs="黑体"/>
          <w:bCs/>
          <w:sz w:val="32"/>
          <w:szCs w:val="32"/>
        </w:rPr>
        <w:t>附件4</w:t>
      </w:r>
    </w:p>
    <w:p>
      <w:pPr>
        <w:pStyle w:val="5"/>
        <w:spacing w:before="0" w:beforeAutospacing="0" w:after="0" w:afterAutospacing="0" w:line="540" w:lineRule="exact"/>
        <w:jc w:val="center"/>
        <w:rPr>
          <w:rFonts w:ascii="方正小标宋简体" w:hAnsi="方正小标宋简体" w:eastAsia="方正小标宋简体" w:cs="方正小标宋简体"/>
          <w:bCs/>
          <w:sz w:val="36"/>
          <w:szCs w:val="36"/>
        </w:rPr>
      </w:pPr>
    </w:p>
    <w:p>
      <w:pPr>
        <w:pStyle w:val="5"/>
        <w:spacing w:before="0" w:beforeAutospacing="0" w:after="0" w:afterAutospacing="0" w:line="540" w:lineRule="exact"/>
        <w:ind w:firstLine="720" w:firstLineChars="20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中医药特色健康管理服务包</w:t>
      </w:r>
    </w:p>
    <w:p>
      <w:pPr>
        <w:pStyle w:val="5"/>
        <w:spacing w:before="0" w:beforeAutospacing="0" w:after="0" w:afterAutospacing="0" w:line="540" w:lineRule="exact"/>
        <w:ind w:firstLine="642" w:firstLineChars="200"/>
        <w:jc w:val="center"/>
        <w:rPr>
          <w:rFonts w:ascii="仿宋_GB2312" w:hAnsi="仿宋_GB2312" w:eastAsia="仿宋_GB2312" w:cs="仿宋_GB2312"/>
          <w:bCs/>
          <w:sz w:val="32"/>
          <w:szCs w:val="32"/>
        </w:rPr>
      </w:pPr>
      <w:r>
        <w:rPr>
          <w:rFonts w:hint="eastAsia" w:ascii="楷体_GB2312" w:hAnsi="楷体_GB2312" w:eastAsia="楷体_GB2312" w:cs="楷体_GB2312"/>
          <w:b/>
          <w:sz w:val="32"/>
          <w:szCs w:val="32"/>
        </w:rPr>
        <w:t>（过敏性鼻炎）</w:t>
      </w:r>
    </w:p>
    <w:p>
      <w:pPr>
        <w:pStyle w:val="5"/>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一、个人基本信息</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姓名、性别、年龄、民族、身份证号、电话号码、婚姻状况、职业、过敏史、过敏性鼻炎年限、</w:t>
      </w:r>
      <w:r>
        <w:rPr>
          <w:rFonts w:hint="eastAsia" w:ascii="仿宋_GB2312" w:hAnsi="仿宋_GB2312" w:eastAsia="仿宋_GB2312" w:cs="仿宋_GB2312"/>
          <w:bCs/>
          <w:sz w:val="32"/>
          <w:szCs w:val="32"/>
          <w:lang w:eastAsia="zh-CN"/>
        </w:rPr>
        <w:t>是否</w:t>
      </w:r>
      <w:r>
        <w:rPr>
          <w:rFonts w:hint="eastAsia" w:ascii="仿宋_GB2312" w:hAnsi="仿宋_GB2312" w:eastAsia="仿宋_GB2312" w:cs="仿宋_GB2312"/>
          <w:bCs/>
          <w:sz w:val="32"/>
          <w:szCs w:val="32"/>
        </w:rPr>
        <w:t>季节性</w:t>
      </w:r>
      <w:r>
        <w:rPr>
          <w:rFonts w:hint="eastAsia" w:ascii="仿宋_GB2312" w:hAnsi="仿宋_GB2312" w:eastAsia="仿宋_GB2312" w:cs="仿宋_GB2312"/>
          <w:bCs/>
          <w:sz w:val="32"/>
          <w:szCs w:val="32"/>
          <w:lang w:eastAsia="zh-CN"/>
        </w:rPr>
        <w:t>发作、</w:t>
      </w:r>
      <w:r>
        <w:rPr>
          <w:rFonts w:hint="eastAsia" w:ascii="仿宋_GB2312" w:hAnsi="仿宋_GB2312" w:eastAsia="仿宋_GB2312" w:cs="仿宋_GB2312"/>
          <w:bCs/>
          <w:sz w:val="32"/>
          <w:szCs w:val="32"/>
        </w:rPr>
        <w:t>家族史等。</w:t>
      </w:r>
    </w:p>
    <w:p>
      <w:pPr>
        <w:pStyle w:val="5"/>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二、体检项目</w:t>
      </w:r>
    </w:p>
    <w:p>
      <w:pPr>
        <w:pStyle w:val="5"/>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kern w:val="2"/>
          <w:sz w:val="32"/>
          <w:szCs w:val="32"/>
        </w:rPr>
        <w:t>（一）</w:t>
      </w:r>
      <w:r>
        <w:rPr>
          <w:rFonts w:hint="eastAsia" w:ascii="楷体_GB2312" w:hAnsi="楷体_GB2312" w:eastAsia="楷体_GB2312" w:cs="楷体_GB2312"/>
          <w:b/>
          <w:sz w:val="32"/>
          <w:szCs w:val="32"/>
        </w:rPr>
        <w:t>中医体检项目</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1.舌脉诊；</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2.中医体质辨识；</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3.经络检测。</w:t>
      </w:r>
    </w:p>
    <w:p>
      <w:pPr>
        <w:pStyle w:val="5"/>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（二）西医体检项目</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鼻内镜检查；</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变应原检查：鼻分泌物涂片、</w:t>
      </w:r>
      <w:r>
        <w:rPr>
          <w:rFonts w:hint="eastAsia" w:ascii="仿宋_GB2312" w:hAnsi="仿宋_GB2312" w:eastAsia="仿宋_GB2312" w:cs="仿宋_GB2312"/>
          <w:bCs/>
          <w:sz w:val="32"/>
          <w:szCs w:val="32"/>
          <w:lang w:val="en-US" w:eastAsia="zh-Hans"/>
        </w:rPr>
        <w:t>皮肤点刺试验</w:t>
      </w:r>
      <w:r>
        <w:rPr>
          <w:rFonts w:hint="default" w:ascii="仿宋_GB2312" w:hAnsi="仿宋_GB2312" w:eastAsia="仿宋_GB2312" w:cs="仿宋_GB2312"/>
          <w:bCs/>
          <w:sz w:val="32"/>
          <w:szCs w:val="32"/>
          <w:lang w:eastAsia="zh-Hans"/>
        </w:rPr>
        <w:t>、</w:t>
      </w:r>
      <w:r>
        <w:rPr>
          <w:rFonts w:hint="eastAsia" w:ascii="仿宋_GB2312" w:hAnsi="仿宋_GB2312" w:eastAsia="仿宋_GB2312" w:cs="仿宋_GB2312"/>
          <w:bCs/>
          <w:sz w:val="32"/>
          <w:szCs w:val="32"/>
        </w:rPr>
        <w:t>鼻粘膜激发试验和I</w:t>
      </w:r>
      <w:r>
        <w:rPr>
          <w:rFonts w:hint="eastAsia" w:ascii="仿宋_GB2312" w:hAnsi="仿宋_GB2312" w:eastAsia="仿宋_GB2312" w:cs="仿宋_GB2312"/>
          <w:bCs/>
          <w:sz w:val="32"/>
          <w:szCs w:val="32"/>
          <w:lang w:val="en-US" w:eastAsia="zh-CN"/>
        </w:rPr>
        <w:t>g</w:t>
      </w:r>
      <w:r>
        <w:rPr>
          <w:rFonts w:hint="eastAsia" w:ascii="仿宋_GB2312" w:hAnsi="仿宋_GB2312" w:eastAsia="仿宋_GB2312" w:cs="仿宋_GB2312"/>
          <w:bCs/>
          <w:sz w:val="32"/>
          <w:szCs w:val="32"/>
        </w:rPr>
        <w:t>E抗体检测</w:t>
      </w:r>
      <w:r>
        <w:rPr>
          <w:rFonts w:hint="eastAsia" w:ascii="仿宋_GB2312" w:hAnsi="仿宋_GB2312" w:eastAsia="仿宋_GB2312" w:cs="仿宋_GB2312"/>
          <w:bCs/>
          <w:sz w:val="32"/>
          <w:szCs w:val="32"/>
          <w:lang w:val="en-US" w:eastAsia="zh-Hans"/>
        </w:rPr>
        <w:t>等</w:t>
      </w:r>
      <w:r>
        <w:rPr>
          <w:rFonts w:hint="eastAsia" w:ascii="仿宋_GB2312" w:hAnsi="仿宋_GB2312" w:eastAsia="仿宋_GB2312" w:cs="仿宋_GB2312"/>
          <w:bCs/>
          <w:sz w:val="32"/>
          <w:szCs w:val="32"/>
        </w:rPr>
        <w:t>。</w:t>
      </w:r>
    </w:p>
    <w:p>
      <w:pPr>
        <w:pStyle w:val="5"/>
        <w:spacing w:before="0" w:beforeAutospacing="0" w:after="0" w:afterAutospacing="0"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三、中医治疗</w:t>
      </w:r>
    </w:p>
    <w:p>
      <w:pPr>
        <w:pStyle w:val="5"/>
        <w:spacing w:before="0" w:beforeAutospacing="0" w:after="0" w:afterAutospacing="0"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（一）辨证</w:t>
      </w:r>
      <w:r>
        <w:rPr>
          <w:rFonts w:hint="eastAsia" w:ascii="楷体_GB2312" w:hAnsi="楷体_GB2312" w:eastAsia="楷体_GB2312" w:cs="楷体_GB2312"/>
          <w:b/>
          <w:sz w:val="32"/>
          <w:szCs w:val="32"/>
          <w:lang w:val="en-US" w:eastAsia="zh-Hans"/>
        </w:rPr>
        <w:t>治疗</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过敏性鼻炎（鼻鼽）的辨证论治应以整体观念为指导，标本兼治，强调长期治疗时应以治本为主。</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1.肺气虚寒，卫表不固</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治法：温肺散寒，益气固表；</w:t>
      </w:r>
    </w:p>
    <w:p>
      <w:pPr>
        <w:spacing w:line="560" w:lineRule="exact"/>
        <w:ind w:firstLine="640" w:firstLineChars="200"/>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常用中药汤剂：温肺止流丹或玉屏风合苍耳子散加减</w:t>
      </w:r>
      <w:r>
        <w:rPr>
          <w:rFonts w:hint="eastAsia" w:ascii="仿宋_GB2312" w:hAnsi="仿宋_GB2312" w:eastAsia="仿宋_GB2312" w:cs="仿宋_GB2312"/>
          <w:bCs/>
          <w:color w:val="auto"/>
          <w:kern w:val="0"/>
          <w:sz w:val="32"/>
          <w:szCs w:val="32"/>
          <w:lang w:eastAsia="zh-CN"/>
        </w:rPr>
        <w:t>。</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2.脾气虚弱，清阳不升</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治法：益气健脾，升阳通窍；</w:t>
      </w:r>
    </w:p>
    <w:p>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常用中药汤剂：补中益气汤加减</w:t>
      </w:r>
      <w:r>
        <w:rPr>
          <w:rFonts w:hint="eastAsia" w:ascii="仿宋_GB2312" w:hAnsi="仿宋_GB2312" w:eastAsia="仿宋_GB2312" w:cs="仿宋_GB2312"/>
          <w:bCs/>
          <w:kern w:val="0"/>
          <w:sz w:val="32"/>
          <w:szCs w:val="32"/>
          <w:lang w:eastAsia="zh-CN"/>
        </w:rPr>
        <w:t>。</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3.肾阳不足，温煦失职</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治法：温补肾阳，固肾纳气；</w:t>
      </w:r>
    </w:p>
    <w:p>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常用中药汤剂：金匮肾气丸或右归丸加减</w:t>
      </w:r>
      <w:r>
        <w:rPr>
          <w:rFonts w:hint="eastAsia" w:ascii="仿宋_GB2312" w:hAnsi="仿宋_GB2312" w:eastAsia="仿宋_GB2312" w:cs="仿宋_GB2312"/>
          <w:bCs/>
          <w:kern w:val="0"/>
          <w:sz w:val="32"/>
          <w:szCs w:val="32"/>
          <w:lang w:eastAsia="zh-CN"/>
        </w:rPr>
        <w:t>。</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肺经伏热，上犯鼻窍</w:t>
      </w:r>
    </w:p>
    <w:p>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治法：清宣肺气，通利鼻窍</w:t>
      </w:r>
      <w:r>
        <w:rPr>
          <w:rFonts w:hint="eastAsia" w:ascii="仿宋_GB2312" w:hAnsi="仿宋_GB2312" w:eastAsia="仿宋_GB2312" w:cs="仿宋_GB2312"/>
          <w:bCs/>
          <w:kern w:val="0"/>
          <w:sz w:val="32"/>
          <w:szCs w:val="32"/>
          <w:lang w:eastAsia="zh-CN"/>
        </w:rPr>
        <w:t>；</w:t>
      </w:r>
    </w:p>
    <w:p>
      <w:pPr>
        <w:spacing w:line="56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常用中药汤剂：辛夷清肺饮加减</w:t>
      </w:r>
      <w:r>
        <w:rPr>
          <w:rFonts w:hint="eastAsia" w:ascii="仿宋_GB2312" w:hAnsi="仿宋_GB2312" w:eastAsia="仿宋_GB2312" w:cs="仿宋_GB2312"/>
          <w:bCs/>
          <w:kern w:val="0"/>
          <w:sz w:val="32"/>
          <w:szCs w:val="32"/>
          <w:lang w:eastAsia="zh-CN"/>
        </w:rPr>
        <w:t>。</w:t>
      </w:r>
    </w:p>
    <w:p>
      <w:pPr>
        <w:pStyle w:val="5"/>
        <w:spacing w:before="0" w:beforeAutospacing="0" w:after="0" w:afterAutospacing="0" w:line="560" w:lineRule="exact"/>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（二）中医特色疗法</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Hans"/>
        </w:rPr>
        <w:t>体针</w:t>
      </w:r>
      <w:r>
        <w:rPr>
          <w:rFonts w:hint="eastAsia" w:ascii="仿宋_GB2312" w:hAnsi="仿宋_GB2312" w:eastAsia="仿宋_GB2312" w:cs="仿宋_GB2312"/>
          <w:color w:val="000000"/>
          <w:sz w:val="32"/>
          <w:szCs w:val="32"/>
        </w:rPr>
        <w:t>治疗</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取穴：迎香、印堂、风池、足三里等为主穴，上星、合谷、禾髎、肺俞、脾俞、肾俞、三阴交等为配穴。操作手法：嘱患者坐位或仰卧位，消毒后，进针1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1.5寸，针用补法，每日1次，每次留针约20分钟，10次为一个疗程。</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2.穴位贴敷</w:t>
      </w:r>
    </w:p>
    <w:p>
      <w:pPr>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方药：丁香、细辛、肉桂等</w:t>
      </w:r>
      <w:r>
        <w:rPr>
          <w:rFonts w:hint="eastAsia" w:ascii="仿宋_GB2312" w:hAnsi="仿宋_GB2312" w:eastAsia="仿宋_GB2312" w:cs="仿宋_GB2312"/>
          <w:color w:val="000000"/>
          <w:sz w:val="32"/>
          <w:szCs w:val="32"/>
          <w:lang w:val="en-US" w:eastAsia="zh-Hans"/>
        </w:rPr>
        <w:t>研粉</w:t>
      </w:r>
      <w:r>
        <w:rPr>
          <w:rFonts w:hint="eastAsia" w:ascii="仿宋_GB2312" w:hAnsi="仿宋_GB2312" w:eastAsia="仿宋_GB2312" w:cs="仿宋_GB2312"/>
          <w:color w:val="000000"/>
          <w:sz w:val="32"/>
          <w:szCs w:val="32"/>
          <w:lang w:val="en-US" w:eastAsia="zh-CN"/>
        </w:rPr>
        <w:t>。</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操作：药物研成细末，取少许撒于胶布，敷贴于内关或印堂穴，约12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24小时（可视皮肤反应程度而定）。若有水泡可自然吸收，或可用注射器抽吸水泡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每周</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次，3次为一个疗程。</w:t>
      </w:r>
      <w:r>
        <w:rPr>
          <w:rFonts w:hint="eastAsia" w:ascii="仿宋_GB2312" w:hAnsi="仿宋_GB2312" w:eastAsia="仿宋_GB2312" w:cs="仿宋_GB2312"/>
          <w:color w:val="000000"/>
          <w:sz w:val="32"/>
          <w:szCs w:val="32"/>
          <w:lang w:val="en-US" w:eastAsia="zh-Hans"/>
        </w:rPr>
        <w:t>也可于三伏天或三九天进行贴敷</w:t>
      </w:r>
      <w:r>
        <w:rPr>
          <w:rFonts w:hint="default" w:ascii="仿宋_GB2312" w:hAnsi="仿宋_GB2312" w:eastAsia="仿宋_GB2312" w:cs="仿宋_GB2312"/>
          <w:color w:val="000000"/>
          <w:sz w:val="32"/>
          <w:szCs w:val="32"/>
          <w:lang w:eastAsia="zh-Hans"/>
        </w:rPr>
        <w:t>。</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3.艾灸</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选穴：足三里、命门、百会、气海、三阴交、涌泉、神阙、上星等穴，悬灸或隔姜灸灸之。</w:t>
      </w:r>
    </w:p>
    <w:p>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操作：每次2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3个穴位，一般每穴灸1壮</w:t>
      </w:r>
      <w:r>
        <w:rPr>
          <w:rFonts w:hint="default"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Hans"/>
        </w:rPr>
        <w:t>分钟</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，以局部潮红为度，需注意避免皮肤烫伤，10次为一个疗程。</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4.耳穴</w:t>
      </w:r>
      <w:r>
        <w:rPr>
          <w:rFonts w:hint="eastAsia" w:ascii="仿宋_GB2312" w:hAnsi="仿宋_GB2312" w:eastAsia="仿宋_GB2312" w:cs="仿宋_GB2312"/>
          <w:color w:val="000000"/>
          <w:sz w:val="32"/>
          <w:szCs w:val="32"/>
          <w:lang w:val="en-US" w:eastAsia="zh-Hans"/>
        </w:rPr>
        <w:t>压豆</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选神门、内分泌、内鼻、肺、脾、肾等穴</w:t>
      </w:r>
      <w:bookmarkStart w:id="0" w:name="_Hlk117591492"/>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治疗前用75%酒精消毒耳廓后用耳针或粘有王不留行籽的胶布小方块对准穴位点贴敷好，嘱患者用手</w:t>
      </w:r>
      <w:r>
        <w:rPr>
          <w:rFonts w:hint="eastAsia" w:ascii="仿宋_GB2312" w:hAnsi="仿宋_GB2312" w:eastAsia="仿宋_GB2312" w:cs="仿宋_GB2312"/>
          <w:color w:val="000000"/>
          <w:sz w:val="32"/>
          <w:szCs w:val="32"/>
          <w:lang w:val="en-US" w:eastAsia="zh-Hans"/>
        </w:rPr>
        <w:t>轻轻</w:t>
      </w:r>
      <w:r>
        <w:rPr>
          <w:rFonts w:hint="eastAsia" w:ascii="仿宋_GB2312" w:hAnsi="仿宋_GB2312" w:eastAsia="仿宋_GB2312" w:cs="仿宋_GB2312"/>
          <w:color w:val="000000"/>
          <w:sz w:val="32"/>
          <w:szCs w:val="32"/>
        </w:rPr>
        <w:t>按压，每次1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2分钟，每日按2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3次，以增强疗效。两耳交替、</w:t>
      </w:r>
      <w:r>
        <w:rPr>
          <w:rFonts w:hint="default"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Hans"/>
        </w:rPr>
        <w:t>日</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次，10次为一疗程。</w:t>
      </w:r>
      <w:bookmarkEnd w:id="0"/>
    </w:p>
    <w:p>
      <w:pPr>
        <w:snapToGrid w:val="0"/>
        <w:spacing w:line="560" w:lineRule="exact"/>
        <w:ind w:firstLine="640" w:firstLineChars="200"/>
        <w:rPr>
          <w:rFonts w:hint="default"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Hans"/>
        </w:rPr>
        <w:t>中药制剂的鼻腔局部应用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Hans"/>
        </w:rPr>
        <w:t>在医师指导下使用中药类滴鼻液如葱白滴鼻液</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滴鼻灵</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辛夷滴鼻剂</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苍夷滴鼻油等</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碧云散</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荜茇适量研末吹鼻</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中草药熬成汤剂进行鼻部熏蒸或雾化等</w:t>
      </w:r>
      <w:r>
        <w:rPr>
          <w:rFonts w:hint="default" w:ascii="仿宋_GB2312" w:hAnsi="仿宋_GB2312" w:eastAsia="仿宋_GB2312" w:cs="仿宋_GB2312"/>
          <w:color w:val="000000"/>
          <w:sz w:val="32"/>
          <w:szCs w:val="32"/>
          <w:lang w:eastAsia="zh-Hans"/>
        </w:rPr>
        <w:t>。</w:t>
      </w:r>
    </w:p>
    <w:p>
      <w:pPr>
        <w:snapToGrid w:val="0"/>
        <w:spacing w:line="56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其他</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中药溻渍疗法</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穴位埋线</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鼻腔生理盐水冲洗可起到辅助作用</w:t>
      </w:r>
      <w:r>
        <w:rPr>
          <w:rFonts w:hint="default"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Hans"/>
        </w:rPr>
        <w:t>也可佩戴中草药香囊</w:t>
      </w:r>
      <w:r>
        <w:rPr>
          <w:rFonts w:hint="default" w:ascii="仿宋_GB2312" w:hAnsi="仿宋_GB2312" w:eastAsia="仿宋_GB2312" w:cs="仿宋_GB2312"/>
          <w:color w:val="000000"/>
          <w:sz w:val="32"/>
          <w:szCs w:val="32"/>
          <w:lang w:eastAsia="zh-Hans"/>
        </w:rPr>
        <w:t>。</w:t>
      </w:r>
    </w:p>
    <w:p>
      <w:pPr>
        <w:pStyle w:val="5"/>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四、健康指导建议</w:t>
      </w:r>
    </w:p>
    <w:p>
      <w:pPr>
        <w:pStyle w:val="5"/>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（一）饮食调摄</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饮食清淡，忌食寒凉生冷等刺激性食物，避免容易诱发过敏的食物</w:t>
      </w:r>
      <w:r>
        <w:rPr>
          <w:rFonts w:hint="eastAsia" w:ascii="仿宋_GB2312" w:hAnsi="仿宋_GB2312" w:eastAsia="仿宋_GB2312" w:cs="仿宋_GB2312"/>
          <w:bCs/>
          <w:sz w:val="32"/>
          <w:szCs w:val="32"/>
          <w:lang w:eastAsia="zh-CN"/>
        </w:rPr>
        <w:t>，发作期间减少高蛋白</w:t>
      </w:r>
      <w:r>
        <w:rPr>
          <w:rFonts w:hint="eastAsia" w:ascii="仿宋_GB2312" w:hAnsi="仿宋_GB2312" w:eastAsia="仿宋_GB2312" w:cs="仿宋_GB2312"/>
          <w:bCs/>
          <w:sz w:val="32"/>
          <w:szCs w:val="32"/>
        </w:rPr>
        <w:t>食物</w:t>
      </w:r>
      <w:r>
        <w:rPr>
          <w:rFonts w:hint="eastAsia" w:ascii="仿宋_GB2312" w:hAnsi="仿宋_GB2312" w:eastAsia="仿宋_GB2312" w:cs="仿宋_GB2312"/>
          <w:bCs/>
          <w:sz w:val="32"/>
          <w:szCs w:val="32"/>
          <w:lang w:eastAsia="zh-CN"/>
        </w:rPr>
        <w:t>摄入</w:t>
      </w:r>
      <w:r>
        <w:rPr>
          <w:rFonts w:hint="eastAsia" w:ascii="仿宋_GB2312" w:hAnsi="仿宋_GB2312" w:eastAsia="仿宋_GB2312" w:cs="仿宋_GB2312"/>
          <w:bCs/>
          <w:sz w:val="32"/>
          <w:szCs w:val="32"/>
        </w:rPr>
        <w:t>，如牛奶、鸡蛋、牛羊肉、鱼虾海鲜等，不饮浓茶、咖啡，建议少饮酒或不饮酒。</w:t>
      </w:r>
    </w:p>
    <w:p>
      <w:pPr>
        <w:pStyle w:val="5"/>
        <w:spacing w:before="0" w:beforeAutospacing="0" w:after="0" w:afterAutospacing="0" w:line="56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1.肺气虚寒，卫表不固：忌浓茶、咖啡及辛辣之品；饮食宜清淡和富于营养，多吃新鲜蔬菜水果</w:t>
      </w:r>
      <w:r>
        <w:rPr>
          <w:rFonts w:hint="eastAsia" w:ascii="仿宋_GB2312" w:hAnsi="仿宋_GB2312" w:eastAsia="仿宋_GB2312" w:cs="仿宋_GB2312"/>
          <w:bCs/>
          <w:sz w:val="32"/>
          <w:szCs w:val="32"/>
          <w:lang w:val="en-US" w:eastAsia="zh-Hans"/>
        </w:rPr>
        <w:t>及补肺</w:t>
      </w:r>
      <w:r>
        <w:rPr>
          <w:rFonts w:hint="eastAsia" w:ascii="仿宋_GB2312" w:hAnsi="仿宋_GB2312" w:eastAsia="仿宋_GB2312" w:cs="仿宋_GB2312"/>
          <w:bCs/>
          <w:sz w:val="32"/>
          <w:szCs w:val="32"/>
        </w:rPr>
        <w:t>之品，如百合、银耳、莲子等。</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2.脾气虚弱，清阳不升：忌辛辣、油腻及生冷之品，忌暴饮暴食；宜食山药、薏米仁、大枣、</w:t>
      </w:r>
      <w:r>
        <w:rPr>
          <w:rFonts w:hint="eastAsia" w:ascii="仿宋_GB2312" w:hAnsi="仿宋_GB2312" w:eastAsia="仿宋_GB2312" w:cs="仿宋_GB2312"/>
          <w:bCs/>
          <w:sz w:val="32"/>
          <w:szCs w:val="32"/>
          <w:lang w:val="en-US" w:eastAsia="zh-Hans"/>
        </w:rPr>
        <w:t>红薯</w:t>
      </w:r>
      <w:r>
        <w:rPr>
          <w:rFonts w:hint="eastAsia" w:ascii="仿宋_GB2312" w:hAnsi="仿宋_GB2312" w:eastAsia="仿宋_GB2312" w:cs="仿宋_GB2312"/>
          <w:bCs/>
          <w:sz w:val="32"/>
          <w:szCs w:val="32"/>
        </w:rPr>
        <w:t>等。</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3.肾阳不足，温煦失职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少食肥甘厚腻之品。宜食韭菜、黑芝麻、干姜、桂圆等。</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4.肺经伏热，上犯鼻窍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忌辛辣、生冷之品，多吃含维生素C</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维生素A的食物。</w:t>
      </w:r>
    </w:p>
    <w:p>
      <w:pPr>
        <w:pStyle w:val="5"/>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（二）药膳指南</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1.辛夷煮鸡蛋：辛夷（布包）20</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，鸡蛋两只。加水煮熟，蛋熟后去壳，再煮片刻，吃蛋喝汤，每日</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次</w:t>
      </w:r>
      <w:r>
        <w:rPr>
          <w:rFonts w:hint="eastAsia" w:ascii="仿宋_GB2312" w:hAnsi="仿宋_GB2312" w:eastAsia="仿宋_GB2312" w:cs="仿宋_GB2312"/>
          <w:bCs/>
          <w:sz w:val="32"/>
          <w:szCs w:val="32"/>
          <w:lang w:eastAsia="zh-CN"/>
        </w:rPr>
        <w:t>。可通鼻窍</w:t>
      </w:r>
      <w:r>
        <w:rPr>
          <w:rFonts w:hint="eastAsia" w:ascii="仿宋_GB2312" w:hAnsi="仿宋_GB2312" w:eastAsia="仿宋_GB2312" w:cs="仿宋_GB2312"/>
          <w:bCs/>
          <w:sz w:val="32"/>
          <w:szCs w:val="32"/>
        </w:rPr>
        <w:t>。</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3.辛夷豆腐汤：辛夷（布包）15</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、豆腐250</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熬煮后食用</w:t>
      </w:r>
      <w:r>
        <w:rPr>
          <w:rFonts w:hint="eastAsia" w:ascii="仿宋_GB2312" w:hAnsi="仿宋_GB2312" w:eastAsia="仿宋_GB2312" w:cs="仿宋_GB2312"/>
          <w:bCs/>
          <w:sz w:val="32"/>
          <w:szCs w:val="32"/>
        </w:rPr>
        <w:t>，每日</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次</w:t>
      </w:r>
      <w:r>
        <w:rPr>
          <w:rFonts w:hint="eastAsia" w:ascii="仿宋_GB2312" w:hAnsi="仿宋_GB2312" w:eastAsia="仿宋_GB2312" w:cs="仿宋_GB2312"/>
          <w:bCs/>
          <w:sz w:val="32"/>
          <w:szCs w:val="32"/>
          <w:lang w:eastAsia="zh-CN"/>
        </w:rPr>
        <w:t>。可通</w:t>
      </w:r>
      <w:r>
        <w:rPr>
          <w:rFonts w:hint="eastAsia" w:ascii="仿宋_GB2312" w:hAnsi="仿宋_GB2312" w:eastAsia="仿宋_GB2312" w:cs="仿宋_GB2312"/>
          <w:bCs/>
          <w:sz w:val="32"/>
          <w:szCs w:val="32"/>
        </w:rPr>
        <w:t>鼻塞</w:t>
      </w:r>
      <w:r>
        <w:rPr>
          <w:rFonts w:hint="eastAsia" w:ascii="仿宋_GB2312" w:hAnsi="仿宋_GB2312" w:eastAsia="仿宋_GB2312" w:cs="仿宋_GB2312"/>
          <w:bCs/>
          <w:sz w:val="32"/>
          <w:szCs w:val="32"/>
          <w:lang w:eastAsia="zh-CN"/>
        </w:rPr>
        <w:t>止</w:t>
      </w:r>
      <w:r>
        <w:rPr>
          <w:rFonts w:hint="eastAsia" w:ascii="仿宋_GB2312" w:hAnsi="仿宋_GB2312" w:eastAsia="仿宋_GB2312" w:cs="仿宋_GB2312"/>
          <w:bCs/>
          <w:sz w:val="32"/>
          <w:szCs w:val="32"/>
        </w:rPr>
        <w:t>头痛。</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4.菊花粥：菊花、桑叶各15</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，薏苡仁</w:t>
      </w:r>
      <w:r>
        <w:rPr>
          <w:rFonts w:hint="eastAsia" w:ascii="仿宋_GB2312" w:hAnsi="仿宋_GB2312" w:eastAsia="仿宋_GB2312" w:cs="仿宋_GB2312"/>
          <w:bCs/>
          <w:sz w:val="32"/>
          <w:szCs w:val="32"/>
          <w:lang w:val="en-US" w:eastAsia="zh-CN"/>
        </w:rPr>
        <w:t>60克</w:t>
      </w:r>
      <w:r>
        <w:rPr>
          <w:rFonts w:hint="eastAsia" w:ascii="仿宋_GB2312" w:hAnsi="仿宋_GB2312" w:eastAsia="仿宋_GB2312" w:cs="仿宋_GB2312"/>
          <w:bCs/>
          <w:sz w:val="32"/>
          <w:szCs w:val="32"/>
        </w:rPr>
        <w:t>，同煮成粥服食。</w:t>
      </w:r>
      <w:r>
        <w:rPr>
          <w:rFonts w:hint="eastAsia" w:ascii="仿宋_GB2312" w:hAnsi="仿宋_GB2312" w:eastAsia="仿宋_GB2312" w:cs="仿宋_GB2312"/>
          <w:bCs/>
          <w:sz w:val="32"/>
          <w:szCs w:val="32"/>
          <w:lang w:eastAsia="zh-CN"/>
        </w:rPr>
        <w:t>可清热生津通窍</w:t>
      </w:r>
      <w:r>
        <w:rPr>
          <w:rFonts w:hint="eastAsia" w:ascii="仿宋_GB2312" w:hAnsi="仿宋_GB2312" w:eastAsia="仿宋_GB2312" w:cs="仿宋_GB2312"/>
          <w:bCs/>
          <w:sz w:val="32"/>
          <w:szCs w:val="32"/>
        </w:rPr>
        <w:t>。</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5.红枣苍耳汤：红枣10枚，苍耳子9</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可补血通窍</w:t>
      </w:r>
      <w:r>
        <w:rPr>
          <w:rFonts w:hint="eastAsia" w:ascii="仿宋_GB2312" w:hAnsi="仿宋_GB2312" w:eastAsia="仿宋_GB2312" w:cs="仿宋_GB2312"/>
          <w:bCs/>
          <w:sz w:val="32"/>
          <w:szCs w:val="32"/>
        </w:rPr>
        <w:t>。</w:t>
      </w:r>
    </w:p>
    <w:p>
      <w:pPr>
        <w:pStyle w:val="5"/>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（三）药茶指导</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1.五味子茶：五味子10-15</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。可收敛固涩，益气生津。</w:t>
      </w:r>
    </w:p>
    <w:p>
      <w:pPr>
        <w:pStyle w:val="5"/>
        <w:spacing w:before="0" w:beforeAutospacing="0" w:after="0" w:afterAutospacing="0" w:line="56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2.辛夷花茶：辛夷花（布包）10</w:t>
      </w:r>
      <w:r>
        <w:rPr>
          <w:rFonts w:hint="eastAsia" w:ascii="仿宋_GB2312" w:hAnsi="仿宋_GB2312" w:eastAsia="仿宋_GB2312" w:cs="仿宋_GB2312"/>
          <w:bCs/>
          <w:sz w:val="32"/>
          <w:szCs w:val="32"/>
          <w:lang w:eastAsia="zh-CN"/>
        </w:rPr>
        <w:t>克。可疏风</w:t>
      </w:r>
      <w:r>
        <w:rPr>
          <w:rFonts w:hint="eastAsia" w:ascii="仿宋_GB2312" w:hAnsi="仿宋_GB2312" w:eastAsia="仿宋_GB2312" w:cs="仿宋_GB2312"/>
          <w:bCs/>
          <w:sz w:val="32"/>
          <w:szCs w:val="32"/>
        </w:rPr>
        <w:t>通窍。</w:t>
      </w:r>
    </w:p>
    <w:p>
      <w:pPr>
        <w:pStyle w:val="5"/>
        <w:spacing w:before="0" w:beforeAutospacing="0" w:after="0" w:afterAutospacing="0" w:line="560" w:lineRule="exact"/>
        <w:ind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.苍耳子茶：苍耳子12</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，白芨9</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，葱白13根，茶叶12</w:t>
      </w:r>
      <w:r>
        <w:rPr>
          <w:rFonts w:hint="eastAsia" w:ascii="仿宋_GB2312" w:hAnsi="仿宋_GB2312" w:eastAsia="仿宋_GB2312" w:cs="仿宋_GB2312"/>
          <w:bCs/>
          <w:sz w:val="32"/>
          <w:szCs w:val="32"/>
          <w:lang w:eastAsia="zh-CN"/>
        </w:rPr>
        <w:t>克</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可散风寒、通鼻窍。</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.胎菊茶：胎菊10</w:t>
      </w:r>
      <w:r>
        <w:rPr>
          <w:rFonts w:hint="eastAsia" w:ascii="仿宋_GB2312" w:hAnsi="仿宋_GB2312" w:eastAsia="仿宋_GB2312" w:cs="仿宋_GB2312"/>
          <w:bCs/>
          <w:sz w:val="32"/>
          <w:szCs w:val="32"/>
          <w:lang w:eastAsia="zh-CN"/>
        </w:rPr>
        <w:t>克。可清热平肝</w:t>
      </w:r>
      <w:r>
        <w:rPr>
          <w:rFonts w:hint="default" w:ascii="仿宋_GB2312" w:hAnsi="仿宋_GB2312" w:eastAsia="仿宋_GB2312" w:cs="仿宋_GB2312"/>
          <w:bCs/>
          <w:sz w:val="32"/>
          <w:szCs w:val="32"/>
        </w:rPr>
        <w:t>。</w:t>
      </w:r>
    </w:p>
    <w:p>
      <w:pPr>
        <w:pStyle w:val="5"/>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（四）自我保健手法</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1.双食指揉动鼻孔两侧的</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迎香”穴位，点、压、揉、按，每日3次，以觉鼻内舒适为度。</w:t>
      </w:r>
    </w:p>
    <w:p>
      <w:pPr>
        <w:pStyle w:val="5"/>
        <w:spacing w:before="0" w:beforeAutospacing="0" w:after="0" w:afterAutospacing="0"/>
        <w:ind w:firstLine="640" w:firstLineChars="200"/>
        <w:jc w:val="center"/>
        <w:rPr>
          <w:rFonts w:ascii="仿宋_GB2312" w:hAnsi="仿宋_GB2312" w:eastAsia="仿宋_GB2312" w:cs="仿宋_GB2312"/>
          <w:bCs/>
          <w:sz w:val="32"/>
          <w:szCs w:val="32"/>
        </w:rPr>
      </w:pPr>
      <w:r>
        <w:rPr>
          <w:rFonts w:ascii="仿宋_GB2312" w:hAnsi="仿宋_GB2312" w:eastAsia="仿宋_GB2312" w:cs="仿宋_GB2312"/>
          <w:bCs/>
          <w:sz w:val="32"/>
          <w:szCs w:val="32"/>
        </w:rPr>
        <w:drawing>
          <wp:inline distT="0" distB="0" distL="0" distR="0">
            <wp:extent cx="1828800" cy="2573655"/>
            <wp:effectExtent l="0" t="0" r="0" b="17145"/>
            <wp:docPr id="6" name="图片 6" descr="C:\Users\xbw\Desktop\tx.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C:\Users\xbw\Desktop\tx.jpg"/>
                    <pic:cNvPicPr>
                      <a:picLocks noChangeAspect="true" noChangeArrowheads="true"/>
                    </pic:cNvPicPr>
                  </pic:nvPicPr>
                  <pic:blipFill>
                    <a:blip r:embed="rId5" cstate="print"/>
                    <a:srcRect/>
                    <a:stretch>
                      <a:fillRect/>
                    </a:stretch>
                  </pic:blipFill>
                  <pic:spPr>
                    <a:xfrm>
                      <a:off x="0" y="0"/>
                      <a:ext cx="1833057" cy="2579753"/>
                    </a:xfrm>
                    <a:prstGeom prst="rect">
                      <a:avLst/>
                    </a:prstGeom>
                    <a:noFill/>
                    <a:ln w="9525">
                      <a:noFill/>
                      <a:miter lim="800000"/>
                      <a:headEnd/>
                      <a:tailEnd/>
                    </a:ln>
                  </pic:spPr>
                </pic:pic>
              </a:graphicData>
            </a:graphic>
          </wp:inline>
        </w:drawing>
      </w:r>
    </w:p>
    <w:p>
      <w:pPr>
        <w:pStyle w:val="5"/>
        <w:spacing w:before="0" w:beforeAutospacing="0" w:after="0" w:afterAutospacing="0" w:line="54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2.两手中指于鼻梁两边按摩20-30次，</w:t>
      </w:r>
      <w:r>
        <w:rPr>
          <w:rFonts w:hint="eastAsia" w:ascii="仿宋_GB2312" w:hAnsi="仿宋_GB2312" w:eastAsia="仿宋_GB2312" w:cs="仿宋_GB2312"/>
          <w:bCs/>
          <w:sz w:val="32"/>
          <w:szCs w:val="32"/>
          <w:lang w:val="en-US" w:eastAsia="zh-Hans"/>
        </w:rPr>
        <w:t>令</w:t>
      </w:r>
      <w:r>
        <w:rPr>
          <w:rFonts w:hint="eastAsia" w:ascii="仿宋_GB2312" w:hAnsi="仿宋_GB2312" w:eastAsia="仿宋_GB2312" w:cs="仿宋_GB2312"/>
          <w:bCs/>
          <w:sz w:val="32"/>
          <w:szCs w:val="32"/>
        </w:rPr>
        <w:t>表里俱热，早晚各一次；再由攒竹向太阳穴推按，使局部有热感，每日3次；亦可用手掌心按摩面部及颈后、枕部皮肤，每次10-15分钟。</w:t>
      </w:r>
    </w:p>
    <w:p>
      <w:pPr>
        <w:pStyle w:val="5"/>
        <w:spacing w:before="0" w:beforeAutospacing="0" w:after="0" w:afterAutospacing="0"/>
        <w:ind w:firstLine="640" w:firstLineChars="200"/>
        <w:jc w:val="center"/>
        <w:rPr>
          <w:rFonts w:ascii="仿宋_GB2312" w:hAnsi="仿宋_GB2312" w:eastAsia="仿宋_GB2312" w:cs="仿宋_GB2312"/>
          <w:bCs/>
          <w:sz w:val="32"/>
          <w:szCs w:val="32"/>
        </w:rPr>
      </w:pPr>
      <w:r>
        <w:rPr>
          <w:rFonts w:ascii="仿宋_GB2312" w:hAnsi="仿宋_GB2312" w:eastAsia="仿宋_GB2312" w:cs="仿宋_GB2312"/>
          <w:bCs/>
          <w:sz w:val="32"/>
          <w:szCs w:val="32"/>
        </w:rPr>
        <w:drawing>
          <wp:inline distT="0" distB="0" distL="0" distR="0">
            <wp:extent cx="3276600" cy="1811655"/>
            <wp:effectExtent l="19050" t="0" r="0" b="0"/>
            <wp:docPr id="4" name="图片 1" descr="C:\Documents and Settings\Administrator\桌面\tyx.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descr="C:\Documents and Settings\Administrator\桌面\tyx.jpg"/>
                    <pic:cNvPicPr>
                      <a:picLocks noChangeAspect="true" noChangeArrowheads="true"/>
                    </pic:cNvPicPr>
                  </pic:nvPicPr>
                  <pic:blipFill>
                    <a:blip r:embed="rId6" cstate="print"/>
                    <a:srcRect/>
                    <a:stretch>
                      <a:fillRect/>
                    </a:stretch>
                  </pic:blipFill>
                  <pic:spPr>
                    <a:xfrm>
                      <a:off x="0" y="0"/>
                      <a:ext cx="3287000" cy="1817854"/>
                    </a:xfrm>
                    <a:prstGeom prst="rect">
                      <a:avLst/>
                    </a:prstGeom>
                    <a:noFill/>
                    <a:ln w="9525">
                      <a:noFill/>
                      <a:miter lim="800000"/>
                      <a:headEnd/>
                      <a:tailEnd/>
                    </a:ln>
                  </pic:spPr>
                </pic:pic>
              </a:graphicData>
            </a:graphic>
          </wp:inline>
        </w:drawing>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3.鼻背按摩：患者用双手自行搓热双手大鱼际摩擦至发热再贴于鼻梁两侧，然后分别于</w:t>
      </w:r>
      <w:bookmarkStart w:id="1" w:name="_GoBack"/>
      <w:bookmarkEnd w:id="1"/>
      <w:r>
        <w:rPr>
          <w:rFonts w:hint="eastAsia" w:ascii="仿宋_GB2312" w:hAnsi="仿宋_GB2312" w:eastAsia="仿宋_GB2312" w:cs="仿宋_GB2312"/>
          <w:bCs/>
          <w:sz w:val="32"/>
          <w:szCs w:val="32"/>
        </w:rPr>
        <w:t>鼻背由鼻根向迎香穴往返按摩，至有热感为度</w:t>
      </w:r>
      <w:r>
        <w:rPr>
          <w:rFonts w:hint="default" w:ascii="仿宋_GB2312" w:hAnsi="仿宋_GB2312" w:eastAsia="仿宋_GB2312" w:cs="仿宋_GB2312"/>
          <w:bCs/>
          <w:sz w:val="32"/>
          <w:szCs w:val="32"/>
        </w:rPr>
        <w:t>。</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4.足部按摩：每晚睡前，自行按摩足底涌泉穴至发热，并辅以按摩两侧足三里、三阴交等。</w:t>
      </w:r>
    </w:p>
    <w:p>
      <w:pPr>
        <w:pStyle w:val="5"/>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（五）情志调养</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1.对于情绪焦虑者，指导其掌握正确的自我情绪管理方式，应多沟通，增强信心，鼓励其通过多种放松方式分散心烦焦虑感。</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2.应用中医七情归属，了解患者情志状态，指导采用移情易性的方法，分散注意力，改变不良习惯，如忧愁悲伤情绪较重者，可采用喜乐疗法，以达“喜胜忧”之效。</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采用五音疗法辨证施治，如虚证者聆听羽音，风格清纯，苍凉柔润，可入肾，滋补肾精，如《伏阳朗照》《梅花三弄》《冰雪寒天》；热盛者，可以选择如《二泉映月》《寒江残雪》《平沙落雁》《潇湘水云》《小河淌水》等柔和、清润的乐曲。</w:t>
      </w:r>
    </w:p>
    <w:p>
      <w:pPr>
        <w:pStyle w:val="5"/>
        <w:spacing w:before="0" w:beforeAutospacing="0" w:after="0" w:afterAutospacing="0" w:line="56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（六）运动养护</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建议在专业人士指导下结合身体自身状况选择运动方式。</w:t>
      </w:r>
    </w:p>
    <w:p>
      <w:pPr>
        <w:pStyle w:val="5"/>
        <w:snapToGrid w:val="0"/>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1.五禽戏：虎戏主肝，疏肝理气；鹿戏主肾，益气补肾；熊戏主脾，调理脾胃；猿戏主心，养心补脑；鸟戏主肺，补肺宽胸。</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2.八段锦：双手托天理三焦，左右开弓似射雕，调理脾胃须单举，五劳七伤往后瞧，摇头摆尾去心火，双手攀足固肾腰，攥拳怒目增气力，背后七颠百病消。</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3.太极拳：属于中国传统武术的一种，具有中正舒缓、轻灵圆活、刚柔相济的特点。</w:t>
      </w:r>
    </w:p>
    <w:p>
      <w:pPr>
        <w:pStyle w:val="5"/>
        <w:spacing w:before="0" w:beforeAutospacing="0" w:after="0" w:afterAutospacing="0" w:line="560" w:lineRule="exact"/>
        <w:ind w:firstLine="640" w:firstLineChars="200"/>
        <w:jc w:val="both"/>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rPr>
        <w:t>五、跟踪问效</w:t>
      </w:r>
    </w:p>
    <w:p>
      <w:pPr>
        <w:pStyle w:val="5"/>
        <w:spacing w:before="0" w:beforeAutospacing="0" w:after="0" w:afterAutospacing="0"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依托互联网、微信公众号等，通过“互联网+健康管理”手段，对过敏性鼻炎患者的饮食、运动、用药效果以及并发症的控制，进行持续跟踪和具体指导。同时，进行定期回访，了解情况，改善综合干预模式内容，达到科学管理的目的。</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snapToGrid w:val="0"/>
                            <w:rPr>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6pebnPAAAABQEAAA8AAAAAAAAAAQAgAAAAOAAAAGRycy9k&#10;b3ducmV2LnhtbFBLAQIUABQAAAAIAIdO4kChoDOUvAEAAF0DAAAOAAAAAAAAAAEAIAAAADQBAABk&#10;cnMvZTJvRG9jLnhtbFBLBQYAAAAABgAGAFkBAABiBQAAAAA=&#10;">
              <v:fill on="f" focussize="0,0"/>
              <v:stroke on="f"/>
              <v:imagedata o:title=""/>
              <o:lock v:ext="edit" aspectratio="f"/>
              <v:textbox inset="0mm,0mm,0mm,0mm" style="mso-fit-shape-to-text:t;">
                <w:txbxContent>
                  <w:p>
                    <w:pPr>
                      <w:snapToGrid w:val="0"/>
                      <w:rPr>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CC"/>
    <w:rsid w:val="0002692E"/>
    <w:rsid w:val="00050E2F"/>
    <w:rsid w:val="00051FF0"/>
    <w:rsid w:val="0007116D"/>
    <w:rsid w:val="00084ED6"/>
    <w:rsid w:val="000D356B"/>
    <w:rsid w:val="00110AB2"/>
    <w:rsid w:val="0013147F"/>
    <w:rsid w:val="001733BF"/>
    <w:rsid w:val="001A2968"/>
    <w:rsid w:val="001F3657"/>
    <w:rsid w:val="002007F7"/>
    <w:rsid w:val="00257B91"/>
    <w:rsid w:val="003000B9"/>
    <w:rsid w:val="00304364"/>
    <w:rsid w:val="00375B0D"/>
    <w:rsid w:val="003C0019"/>
    <w:rsid w:val="004204AB"/>
    <w:rsid w:val="00492DDA"/>
    <w:rsid w:val="004E0910"/>
    <w:rsid w:val="005633BF"/>
    <w:rsid w:val="00596C03"/>
    <w:rsid w:val="005B7ECC"/>
    <w:rsid w:val="005C02C5"/>
    <w:rsid w:val="00602A8B"/>
    <w:rsid w:val="00612345"/>
    <w:rsid w:val="00625581"/>
    <w:rsid w:val="00626EE5"/>
    <w:rsid w:val="006D24BC"/>
    <w:rsid w:val="00704F39"/>
    <w:rsid w:val="00720FEF"/>
    <w:rsid w:val="007270CA"/>
    <w:rsid w:val="00727D1B"/>
    <w:rsid w:val="00770B6F"/>
    <w:rsid w:val="0078244C"/>
    <w:rsid w:val="007B480E"/>
    <w:rsid w:val="007C4D72"/>
    <w:rsid w:val="007E3FB5"/>
    <w:rsid w:val="0081651B"/>
    <w:rsid w:val="00842452"/>
    <w:rsid w:val="008515B1"/>
    <w:rsid w:val="00884061"/>
    <w:rsid w:val="008B2EC0"/>
    <w:rsid w:val="008C2161"/>
    <w:rsid w:val="008D4B5B"/>
    <w:rsid w:val="00944425"/>
    <w:rsid w:val="00A04752"/>
    <w:rsid w:val="00A12FB0"/>
    <w:rsid w:val="00A5149D"/>
    <w:rsid w:val="00AC2F1A"/>
    <w:rsid w:val="00AD7A43"/>
    <w:rsid w:val="00B05B48"/>
    <w:rsid w:val="00B30207"/>
    <w:rsid w:val="00B31302"/>
    <w:rsid w:val="00B60C77"/>
    <w:rsid w:val="00BA66D4"/>
    <w:rsid w:val="00C01FCC"/>
    <w:rsid w:val="00C457BB"/>
    <w:rsid w:val="00D01C48"/>
    <w:rsid w:val="00D171E2"/>
    <w:rsid w:val="00E85D4D"/>
    <w:rsid w:val="00EF1D19"/>
    <w:rsid w:val="00EF2119"/>
    <w:rsid w:val="00F05ABE"/>
    <w:rsid w:val="00F405B0"/>
    <w:rsid w:val="00F71E2F"/>
    <w:rsid w:val="00F7350D"/>
    <w:rsid w:val="04363AE8"/>
    <w:rsid w:val="05244634"/>
    <w:rsid w:val="055A55B4"/>
    <w:rsid w:val="05697D6A"/>
    <w:rsid w:val="05C23886"/>
    <w:rsid w:val="05F17CC7"/>
    <w:rsid w:val="05FE23E4"/>
    <w:rsid w:val="07061550"/>
    <w:rsid w:val="075B4F40"/>
    <w:rsid w:val="083420ED"/>
    <w:rsid w:val="08C63938"/>
    <w:rsid w:val="09120680"/>
    <w:rsid w:val="0A6F1B02"/>
    <w:rsid w:val="0BD48D27"/>
    <w:rsid w:val="0EF80318"/>
    <w:rsid w:val="0F7D081D"/>
    <w:rsid w:val="10E50428"/>
    <w:rsid w:val="127777A6"/>
    <w:rsid w:val="13914897"/>
    <w:rsid w:val="142E0338"/>
    <w:rsid w:val="1461105E"/>
    <w:rsid w:val="157224A6"/>
    <w:rsid w:val="15F01D49"/>
    <w:rsid w:val="15F31839"/>
    <w:rsid w:val="16E64EFA"/>
    <w:rsid w:val="171F21BA"/>
    <w:rsid w:val="17E78758"/>
    <w:rsid w:val="17FEF957"/>
    <w:rsid w:val="18EF5DE2"/>
    <w:rsid w:val="1A626F8D"/>
    <w:rsid w:val="1AD734D7"/>
    <w:rsid w:val="1AEB6F83"/>
    <w:rsid w:val="1B3F254E"/>
    <w:rsid w:val="1B7A3E63"/>
    <w:rsid w:val="1BD05B26"/>
    <w:rsid w:val="1BF7A216"/>
    <w:rsid w:val="1C646705"/>
    <w:rsid w:val="1CA94A00"/>
    <w:rsid w:val="1D3D65DF"/>
    <w:rsid w:val="1D85546D"/>
    <w:rsid w:val="1D8E58C4"/>
    <w:rsid w:val="1E62130A"/>
    <w:rsid w:val="1F686DF4"/>
    <w:rsid w:val="1F784B5D"/>
    <w:rsid w:val="1FEC3D52"/>
    <w:rsid w:val="21BA145D"/>
    <w:rsid w:val="21EB7868"/>
    <w:rsid w:val="2250394F"/>
    <w:rsid w:val="22AA3280"/>
    <w:rsid w:val="2355143D"/>
    <w:rsid w:val="23DA1943"/>
    <w:rsid w:val="251C0093"/>
    <w:rsid w:val="25205A7B"/>
    <w:rsid w:val="27DF39CB"/>
    <w:rsid w:val="2823744B"/>
    <w:rsid w:val="29D41195"/>
    <w:rsid w:val="2A314286"/>
    <w:rsid w:val="2AA50073"/>
    <w:rsid w:val="2BAE2033"/>
    <w:rsid w:val="2BD82C0B"/>
    <w:rsid w:val="2BFD2672"/>
    <w:rsid w:val="2E377252"/>
    <w:rsid w:val="2FFF7F1C"/>
    <w:rsid w:val="30A4225F"/>
    <w:rsid w:val="312DE543"/>
    <w:rsid w:val="344E43B3"/>
    <w:rsid w:val="346A0AC1"/>
    <w:rsid w:val="34B14942"/>
    <w:rsid w:val="357C6CFE"/>
    <w:rsid w:val="35E328D9"/>
    <w:rsid w:val="36FFE7DE"/>
    <w:rsid w:val="374B6D5A"/>
    <w:rsid w:val="37DFF091"/>
    <w:rsid w:val="398443D3"/>
    <w:rsid w:val="39C340EB"/>
    <w:rsid w:val="39DDD98C"/>
    <w:rsid w:val="39E60BE9"/>
    <w:rsid w:val="3A3A63BC"/>
    <w:rsid w:val="3A6F6790"/>
    <w:rsid w:val="3A704957"/>
    <w:rsid w:val="3AAD7959"/>
    <w:rsid w:val="3B60798A"/>
    <w:rsid w:val="3BEFDCAC"/>
    <w:rsid w:val="3C461B15"/>
    <w:rsid w:val="3CF26EB9"/>
    <w:rsid w:val="3EA757A6"/>
    <w:rsid w:val="3F285A2A"/>
    <w:rsid w:val="3F712307"/>
    <w:rsid w:val="3FFBA9E9"/>
    <w:rsid w:val="40714F85"/>
    <w:rsid w:val="417953FD"/>
    <w:rsid w:val="43CF6B92"/>
    <w:rsid w:val="43F565F9"/>
    <w:rsid w:val="45014B29"/>
    <w:rsid w:val="465563C4"/>
    <w:rsid w:val="46CA3986"/>
    <w:rsid w:val="48C26CC5"/>
    <w:rsid w:val="48D70A6C"/>
    <w:rsid w:val="49E7B85A"/>
    <w:rsid w:val="4A631DE2"/>
    <w:rsid w:val="4A985F30"/>
    <w:rsid w:val="4B2E6FBF"/>
    <w:rsid w:val="4B3C2D5F"/>
    <w:rsid w:val="4B5D76BB"/>
    <w:rsid w:val="4B6B71A0"/>
    <w:rsid w:val="4D151ABA"/>
    <w:rsid w:val="4D16138E"/>
    <w:rsid w:val="4D673998"/>
    <w:rsid w:val="4ECA2430"/>
    <w:rsid w:val="4EE03A01"/>
    <w:rsid w:val="4FC4043E"/>
    <w:rsid w:val="50347C72"/>
    <w:rsid w:val="50966A6E"/>
    <w:rsid w:val="51DA555E"/>
    <w:rsid w:val="52604542"/>
    <w:rsid w:val="526C4D2A"/>
    <w:rsid w:val="547C41CC"/>
    <w:rsid w:val="56015E92"/>
    <w:rsid w:val="571526B6"/>
    <w:rsid w:val="5721105B"/>
    <w:rsid w:val="57FD73D2"/>
    <w:rsid w:val="5814296E"/>
    <w:rsid w:val="58247055"/>
    <w:rsid w:val="58D467BB"/>
    <w:rsid w:val="5915027D"/>
    <w:rsid w:val="59633BAD"/>
    <w:rsid w:val="5ADA1C4D"/>
    <w:rsid w:val="5C3B099A"/>
    <w:rsid w:val="5C6B6227"/>
    <w:rsid w:val="5C9968AC"/>
    <w:rsid w:val="5CBF7C60"/>
    <w:rsid w:val="5DFF1848"/>
    <w:rsid w:val="5DFF1B40"/>
    <w:rsid w:val="5E20206C"/>
    <w:rsid w:val="5E382FC7"/>
    <w:rsid w:val="5F906D7E"/>
    <w:rsid w:val="5FDF1019"/>
    <w:rsid w:val="5FE70A9D"/>
    <w:rsid w:val="60360D32"/>
    <w:rsid w:val="6171498D"/>
    <w:rsid w:val="623C143F"/>
    <w:rsid w:val="62557D9F"/>
    <w:rsid w:val="62AE40EB"/>
    <w:rsid w:val="62D33B51"/>
    <w:rsid w:val="62E53885"/>
    <w:rsid w:val="646B7DB9"/>
    <w:rsid w:val="66C57C55"/>
    <w:rsid w:val="67002A3B"/>
    <w:rsid w:val="674212A6"/>
    <w:rsid w:val="67D0065F"/>
    <w:rsid w:val="683D067A"/>
    <w:rsid w:val="69BB533F"/>
    <w:rsid w:val="6B0A7EF6"/>
    <w:rsid w:val="6C07661A"/>
    <w:rsid w:val="6CE329FC"/>
    <w:rsid w:val="6D350F65"/>
    <w:rsid w:val="6DE947D8"/>
    <w:rsid w:val="6DEF3A2F"/>
    <w:rsid w:val="6DFF48C8"/>
    <w:rsid w:val="6F125A01"/>
    <w:rsid w:val="6F4F4560"/>
    <w:rsid w:val="6FEF4F71"/>
    <w:rsid w:val="6FFF5629"/>
    <w:rsid w:val="70E62CA2"/>
    <w:rsid w:val="71125845"/>
    <w:rsid w:val="71347EB1"/>
    <w:rsid w:val="71520337"/>
    <w:rsid w:val="72C97439"/>
    <w:rsid w:val="72FFB305"/>
    <w:rsid w:val="735F4F8D"/>
    <w:rsid w:val="74E0571E"/>
    <w:rsid w:val="74EB6AD9"/>
    <w:rsid w:val="76074EF5"/>
    <w:rsid w:val="763D4E14"/>
    <w:rsid w:val="766809CA"/>
    <w:rsid w:val="76BB2C31"/>
    <w:rsid w:val="76BE055A"/>
    <w:rsid w:val="77737259"/>
    <w:rsid w:val="77EBE1E6"/>
    <w:rsid w:val="77F2017E"/>
    <w:rsid w:val="77FA1305"/>
    <w:rsid w:val="785901FD"/>
    <w:rsid w:val="785E5813"/>
    <w:rsid w:val="78AC4CCA"/>
    <w:rsid w:val="79FF5686"/>
    <w:rsid w:val="7B3F656D"/>
    <w:rsid w:val="7B4E92FD"/>
    <w:rsid w:val="7B626CF6"/>
    <w:rsid w:val="7BD56337"/>
    <w:rsid w:val="7BF78040"/>
    <w:rsid w:val="7BFD4479"/>
    <w:rsid w:val="7BFDD6B9"/>
    <w:rsid w:val="7CA35EEB"/>
    <w:rsid w:val="7D783886"/>
    <w:rsid w:val="7DA63EE4"/>
    <w:rsid w:val="7DDFD02A"/>
    <w:rsid w:val="7DEFD15D"/>
    <w:rsid w:val="7E9F0934"/>
    <w:rsid w:val="7EF7C28D"/>
    <w:rsid w:val="7EFDB341"/>
    <w:rsid w:val="7EFDC4C0"/>
    <w:rsid w:val="7EFF024C"/>
    <w:rsid w:val="7F7560DD"/>
    <w:rsid w:val="7F7DABE8"/>
    <w:rsid w:val="7F7F2C62"/>
    <w:rsid w:val="7FBD2907"/>
    <w:rsid w:val="7FF604BE"/>
    <w:rsid w:val="7FF71C8B"/>
    <w:rsid w:val="7FFC724F"/>
    <w:rsid w:val="7FFF4F7A"/>
    <w:rsid w:val="88FFB879"/>
    <w:rsid w:val="8B53EA12"/>
    <w:rsid w:val="8F6D42BD"/>
    <w:rsid w:val="95FE3BB6"/>
    <w:rsid w:val="99EFC2E0"/>
    <w:rsid w:val="9BFEEC6F"/>
    <w:rsid w:val="9CFB9517"/>
    <w:rsid w:val="9DC3FBD3"/>
    <w:rsid w:val="9F76EB3F"/>
    <w:rsid w:val="A5EFFEB6"/>
    <w:rsid w:val="A7EF7711"/>
    <w:rsid w:val="ACE35D7D"/>
    <w:rsid w:val="AF6C8D24"/>
    <w:rsid w:val="B9F75E9E"/>
    <w:rsid w:val="BEE22B3C"/>
    <w:rsid w:val="BFDFEB8D"/>
    <w:rsid w:val="CDED33A5"/>
    <w:rsid w:val="D76F2157"/>
    <w:rsid w:val="DCDEF86D"/>
    <w:rsid w:val="DD5B969A"/>
    <w:rsid w:val="DDB10774"/>
    <w:rsid w:val="DDEED7AA"/>
    <w:rsid w:val="DF5DBF3C"/>
    <w:rsid w:val="DF73C96E"/>
    <w:rsid w:val="DF8C92FA"/>
    <w:rsid w:val="DF960A0A"/>
    <w:rsid w:val="DFF6B00F"/>
    <w:rsid w:val="E7D22B7D"/>
    <w:rsid w:val="E9E57DD2"/>
    <w:rsid w:val="EBFB06F4"/>
    <w:rsid w:val="EC2BE8F8"/>
    <w:rsid w:val="EEBC1490"/>
    <w:rsid w:val="EF79565B"/>
    <w:rsid w:val="EFB7BED9"/>
    <w:rsid w:val="EFFF946B"/>
    <w:rsid w:val="F0F7E322"/>
    <w:rsid w:val="F3F60E8D"/>
    <w:rsid w:val="F3FDF594"/>
    <w:rsid w:val="F5BE7B8C"/>
    <w:rsid w:val="F78FB0BD"/>
    <w:rsid w:val="F7C7B8DB"/>
    <w:rsid w:val="F7FF3595"/>
    <w:rsid w:val="F7FFCB21"/>
    <w:rsid w:val="FB7F0DFE"/>
    <w:rsid w:val="FB97EB91"/>
    <w:rsid w:val="FD6FD2E9"/>
    <w:rsid w:val="FD76169C"/>
    <w:rsid w:val="FDE34BA0"/>
    <w:rsid w:val="FDFF7536"/>
    <w:rsid w:val="FE9E03DF"/>
    <w:rsid w:val="FFAEAADD"/>
    <w:rsid w:val="FFB6E710"/>
    <w:rsid w:val="FFBB7AFF"/>
    <w:rsid w:val="FFD365EC"/>
    <w:rsid w:val="FFD6771B"/>
    <w:rsid w:val="FFDF6306"/>
    <w:rsid w:val="FFF73762"/>
    <w:rsid w:val="FFFF5C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Emphasis"/>
    <w:basedOn w:val="7"/>
    <w:qFormat/>
    <w:uiPriority w:val="20"/>
    <w:rPr>
      <w:i/>
    </w:rPr>
  </w:style>
  <w:style w:type="paragraph" w:customStyle="1" w:styleId="9">
    <w:name w:val="Char Char Char Char Char Char Char Char Char"/>
    <w:basedOn w:val="1"/>
    <w:qFormat/>
    <w:uiPriority w:val="0"/>
    <w:pPr>
      <w:widowControl/>
      <w:spacing w:after="160" w:line="240" w:lineRule="exact"/>
      <w:jc w:val="left"/>
    </w:pPr>
    <w:rPr>
      <w:rFonts w:ascii="Times New Roman" w:hAnsi="Times New Roman" w:cs="Times New Roman"/>
      <w:szCs w:val="24"/>
    </w:rPr>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semiHidden/>
    <w:qFormat/>
    <w:uiPriority w:val="99"/>
    <w:rPr>
      <w:sz w:val="18"/>
      <w:szCs w:val="18"/>
    </w:rPr>
  </w:style>
  <w:style w:type="character" w:customStyle="1" w:styleId="12">
    <w:name w:val="批注框文本 字符"/>
    <w:basedOn w:val="7"/>
    <w:link w:val="2"/>
    <w:semiHidden/>
    <w:qFormat/>
    <w:uiPriority w:val="99"/>
    <w:rPr>
      <w:rFonts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386</Words>
  <Characters>2202</Characters>
  <Lines>18</Lines>
  <Paragraphs>5</Paragraphs>
  <TotalTime>1</TotalTime>
  <ScaleCrop>false</ScaleCrop>
  <LinksUpToDate>false</LinksUpToDate>
  <CharactersWithSpaces>2583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2021-12-15T09:30:00Z</dcterms:created>
  <dc:creator>Lenovo</dc:creator>
  <cp:lastModifiedBy>baixin</cp:lastModifiedBy>
  <cp:lastPrinted>2022-03-13T23:53:00Z</cp:lastPrinted>
  <dcterms:modified xsi:type="dcterms:W3CDTF">2022-11-07T18:47:19Z</dcterms:modified>
  <dc:title>中医药特色健康管理服务包</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D715FA27D1E74984B6C5F5E659EBFDE5</vt:lpwstr>
  </property>
</Properties>
</file>