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560" w:lineRule="exact"/>
        <w:rPr>
          <w:rFonts w:ascii="黑体" w:hAnsi="黑体" w:eastAsia="黑体" w:cs="黑体"/>
          <w:bCs/>
          <w:sz w:val="32"/>
          <w:szCs w:val="32"/>
        </w:rPr>
      </w:pPr>
      <w:bookmarkStart w:id="0" w:name="_Hlk97751251"/>
      <w:bookmarkEnd w:id="0"/>
      <w:r>
        <w:rPr>
          <w:rFonts w:hint="eastAsia" w:ascii="黑体" w:hAnsi="黑体" w:eastAsia="黑体" w:cs="黑体"/>
          <w:bCs/>
          <w:sz w:val="32"/>
          <w:szCs w:val="32"/>
        </w:rPr>
        <w:t>附件8</w:t>
      </w:r>
    </w:p>
    <w:p>
      <w:pPr>
        <w:pStyle w:val="4"/>
        <w:snapToGrid w:val="0"/>
        <w:spacing w:before="0" w:beforeAutospacing="0" w:after="0" w:afterAutospacing="0" w:line="560" w:lineRule="exact"/>
        <w:jc w:val="center"/>
        <w:rPr>
          <w:rFonts w:ascii="方正小标宋简体" w:hAnsi="方正小标宋简体" w:eastAsia="方正小标宋简体" w:cs="方正小标宋简体"/>
          <w:bCs/>
          <w:sz w:val="36"/>
          <w:szCs w:val="36"/>
        </w:rPr>
      </w:pPr>
    </w:p>
    <w:p>
      <w:pPr>
        <w:pStyle w:val="4"/>
        <w:snapToGrid w:val="0"/>
        <w:spacing w:before="0" w:beforeAutospacing="0" w:after="0" w:afterAutospacing="0" w:line="560" w:lineRule="exact"/>
        <w:ind w:firstLine="720" w:firstLineChars="20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中医药特色健康管理服务包</w:t>
      </w:r>
    </w:p>
    <w:p>
      <w:pPr>
        <w:pStyle w:val="4"/>
        <w:snapToGrid w:val="0"/>
        <w:spacing w:before="0" w:beforeAutospacing="0" w:after="0" w:afterAutospacing="0" w:line="560" w:lineRule="exact"/>
        <w:ind w:firstLine="642" w:firstLineChars="200"/>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（慢性咽炎）</w:t>
      </w:r>
    </w:p>
    <w:p>
      <w:pPr>
        <w:pStyle w:val="4"/>
        <w:snapToGrid w:val="0"/>
        <w:spacing w:before="0" w:beforeAutospacing="0" w:after="0" w:afterAutospacing="0" w:line="560" w:lineRule="exact"/>
        <w:ind w:firstLine="640" w:firstLineChars="200"/>
        <w:jc w:val="both"/>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rPr>
        <w:t>一、个人基本信息</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姓名、性别、年龄、民族、身份证号、电话号码、婚姻状况、职业、饮食习惯、饮酒吸烟史、家族史、用药情况、是否合并慢性鼻炎、过敏性鼻炎、鼻窦炎、扁桃体肥大、胃食管返流等疾病。</w:t>
      </w:r>
    </w:p>
    <w:p>
      <w:pPr>
        <w:pStyle w:val="4"/>
        <w:numPr>
          <w:ilvl w:val="0"/>
          <w:numId w:val="1"/>
        </w:numPr>
        <w:snapToGrid w:val="0"/>
        <w:spacing w:before="0" w:beforeAutospacing="0" w:after="0" w:afterAutospacing="0" w:line="560" w:lineRule="exact"/>
        <w:ind w:firstLine="640" w:firstLineChars="200"/>
        <w:jc w:val="both"/>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rPr>
        <w:t>体检项目</w:t>
      </w:r>
    </w:p>
    <w:p>
      <w:pPr>
        <w:pStyle w:val="4"/>
        <w:snapToGrid w:val="0"/>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kern w:val="2"/>
          <w:sz w:val="32"/>
          <w:szCs w:val="32"/>
        </w:rPr>
        <w:t>（一）</w:t>
      </w:r>
      <w:r>
        <w:rPr>
          <w:rFonts w:hint="eastAsia" w:ascii="楷体_GB2312" w:hAnsi="楷体_GB2312" w:eastAsia="楷体_GB2312" w:cs="楷体_GB2312"/>
          <w:b/>
          <w:sz w:val="32"/>
          <w:szCs w:val="32"/>
        </w:rPr>
        <w:t>中医体检项目</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1.舌脉诊；</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2.体质辨识；</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3.中医经络检测。</w:t>
      </w:r>
    </w:p>
    <w:p>
      <w:pPr>
        <w:pStyle w:val="4"/>
        <w:snapToGrid w:val="0"/>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（二）西医体检项目</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1.必查项目</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eastAsia="仿宋_GB2312"/>
          <w:sz w:val="32"/>
          <w:szCs w:val="32"/>
        </w:rPr>
        <w:t>血常规</w:t>
      </w:r>
      <w:r>
        <w:rPr>
          <w:rFonts w:hint="eastAsia" w:ascii="仿宋_GB2312" w:eastAsia="仿宋_GB2312"/>
          <w:sz w:val="32"/>
          <w:szCs w:val="32"/>
          <w:lang w:eastAsia="zh-CN"/>
        </w:rPr>
        <w:t>，</w:t>
      </w:r>
      <w:r>
        <w:rPr>
          <w:rFonts w:hint="eastAsia" w:ascii="仿宋_GB2312" w:eastAsia="仿宋_GB2312"/>
          <w:sz w:val="32"/>
          <w:szCs w:val="32"/>
        </w:rPr>
        <w:t>痰涂片、痰培养；</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eastAsia="仿宋_GB2312"/>
          <w:sz w:val="32"/>
          <w:szCs w:val="32"/>
        </w:rPr>
        <w:t>X线检查：胸片可排除肺炎及肺结核病；</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eastAsia="仿宋_GB2312"/>
          <w:sz w:val="32"/>
          <w:szCs w:val="32"/>
        </w:rPr>
        <w:t>纤维喉镜检查基本可明确诊断。</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2.选查项目</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（1）鼻内镜检查；</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color w:val="000000"/>
          <w:sz w:val="32"/>
          <w:szCs w:val="32"/>
        </w:rPr>
        <w:t>鼻窦CT扫描</w:t>
      </w:r>
      <w:r>
        <w:rPr>
          <w:rFonts w:hint="eastAsia" w:ascii="仿宋_GB2312" w:hAnsi="仿宋_GB2312" w:eastAsia="仿宋_GB2312" w:cs="仿宋_GB2312"/>
          <w:bCs/>
          <w:sz w:val="32"/>
          <w:szCs w:val="32"/>
        </w:rPr>
        <w:t>；</w:t>
      </w:r>
    </w:p>
    <w:p>
      <w:pPr>
        <w:pStyle w:val="4"/>
        <w:snapToGrid w:val="0"/>
        <w:spacing w:before="0" w:beforeAutospacing="0" w:after="0" w:afterAutospacing="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（3）胃镜检查；</w:t>
      </w:r>
    </w:p>
    <w:p>
      <w:pPr>
        <w:pStyle w:val="4"/>
        <w:snapToGrid w:val="0"/>
        <w:spacing w:before="0" w:beforeAutospacing="0" w:after="0" w:afterAutospacing="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（4）食管PH值测定。</w:t>
      </w:r>
    </w:p>
    <w:p>
      <w:pPr>
        <w:pStyle w:val="4"/>
        <w:snapToGrid w:val="0"/>
        <w:spacing w:before="0" w:beforeAutospacing="0" w:after="0" w:afterAutospacing="0" w:line="560" w:lineRule="exact"/>
        <w:ind w:firstLine="640" w:firstLineChars="200"/>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rPr>
        <w:t>三、中医治疗</w:t>
      </w:r>
    </w:p>
    <w:p>
      <w:pPr>
        <w:snapToGrid w:val="0"/>
        <w:spacing w:line="560" w:lineRule="exact"/>
        <w:ind w:firstLine="640" w:firstLineChars="200"/>
        <w:outlineLvl w:val="2"/>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（一）辨证选择口服中药汤剂或中成药</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慢喉痹是指反复咽部不适，可见咽黏膜慢性充血，或肥厚，或萎缩为主要特征的疾病。西医学的慢性咽炎等属于本病范畴。</w:t>
      </w:r>
    </w:p>
    <w:p>
      <w:pPr>
        <w:widowControl/>
        <w:spacing w:line="560" w:lineRule="exact"/>
        <w:ind w:firstLine="640" w:firstLineChars="200"/>
        <w:jc w:val="left"/>
        <w:rPr>
          <w:rFonts w:ascii="仿宋_GB2312" w:hAnsi="宋体" w:eastAsia="仿宋_GB2312" w:cs="宋体"/>
          <w:b w:val="0"/>
          <w:bCs w:val="0"/>
          <w:color w:val="auto"/>
          <w:kern w:val="0"/>
          <w:sz w:val="32"/>
          <w:szCs w:val="32"/>
        </w:rPr>
      </w:pPr>
      <w:r>
        <w:rPr>
          <w:rFonts w:hint="eastAsia" w:ascii="仿宋_GB2312" w:hAnsi="宋体" w:eastAsia="仿宋_GB2312" w:cs="宋体"/>
          <w:b w:val="0"/>
          <w:bCs w:val="0"/>
          <w:color w:val="auto"/>
          <w:kern w:val="0"/>
          <w:sz w:val="32"/>
          <w:szCs w:val="32"/>
        </w:rPr>
        <w:t xml:space="preserve">1.肺肾阴虚证 </w:t>
      </w:r>
    </w:p>
    <w:p>
      <w:pPr>
        <w:widowControl/>
        <w:spacing w:line="560" w:lineRule="exact"/>
        <w:ind w:firstLine="640" w:firstLineChars="200"/>
        <w:jc w:val="lef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治法：养阴利咽</w:t>
      </w:r>
      <w:r>
        <w:rPr>
          <w:rFonts w:hint="eastAsia" w:ascii="仿宋_GB2312" w:eastAsia="仿宋_GB2312"/>
          <w:b w:val="0"/>
          <w:bCs w:val="0"/>
          <w:color w:val="auto"/>
          <w:sz w:val="32"/>
          <w:szCs w:val="32"/>
          <w:lang w:eastAsia="zh-CN"/>
        </w:rPr>
        <w:t>；</w:t>
      </w:r>
    </w:p>
    <w:p>
      <w:pPr>
        <w:widowControl/>
        <w:spacing w:line="560" w:lineRule="exact"/>
        <w:ind w:firstLine="640" w:firstLineChars="200"/>
        <w:jc w:val="lef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val="en-US" w:eastAsia="zh-CN"/>
        </w:rPr>
        <w:t>常用中药汤剂</w:t>
      </w:r>
      <w:r>
        <w:rPr>
          <w:rFonts w:hint="eastAsia" w:ascii="仿宋_GB2312" w:eastAsia="仿宋_GB2312"/>
          <w:b w:val="0"/>
          <w:bCs w:val="0"/>
          <w:color w:val="auto"/>
          <w:sz w:val="32"/>
          <w:szCs w:val="32"/>
        </w:rPr>
        <w:t>：百合固金汤（《医方集解》）或养阴清肺汤加减</w:t>
      </w:r>
      <w:r>
        <w:rPr>
          <w:rFonts w:hint="eastAsia" w:ascii="仿宋_GB2312" w:eastAsia="仿宋_GB2312"/>
          <w:b w:val="0"/>
          <w:bCs w:val="0"/>
          <w:color w:val="auto"/>
          <w:sz w:val="32"/>
          <w:szCs w:val="32"/>
          <w:lang w:eastAsia="zh-CN"/>
        </w:rPr>
        <w:t>。</w:t>
      </w:r>
    </w:p>
    <w:p>
      <w:pPr>
        <w:widowControl/>
        <w:spacing w:line="560" w:lineRule="exact"/>
        <w:ind w:firstLine="640" w:firstLineChars="200"/>
        <w:jc w:val="left"/>
        <w:rPr>
          <w:rFonts w:ascii="仿宋_GB2312" w:hAnsi="宋体" w:eastAsia="仿宋_GB2312" w:cs="宋体"/>
          <w:b w:val="0"/>
          <w:bCs w:val="0"/>
          <w:color w:val="auto"/>
          <w:kern w:val="0"/>
          <w:sz w:val="32"/>
          <w:szCs w:val="32"/>
        </w:rPr>
      </w:pPr>
      <w:r>
        <w:rPr>
          <w:rFonts w:hint="eastAsia" w:ascii="仿宋_GB2312" w:hAnsi="宋体" w:eastAsia="仿宋_GB2312" w:cs="宋体"/>
          <w:b w:val="0"/>
          <w:bCs w:val="0"/>
          <w:color w:val="auto"/>
          <w:kern w:val="0"/>
          <w:sz w:val="32"/>
          <w:szCs w:val="32"/>
        </w:rPr>
        <w:t xml:space="preserve">2.脾气虚弱证 </w:t>
      </w:r>
    </w:p>
    <w:p>
      <w:pPr>
        <w:widowControl/>
        <w:spacing w:line="560" w:lineRule="exact"/>
        <w:ind w:firstLine="640" w:firstLineChars="200"/>
        <w:jc w:val="lef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治法：益气利咽</w:t>
      </w:r>
      <w:r>
        <w:rPr>
          <w:rFonts w:hint="eastAsia" w:ascii="仿宋_GB2312" w:eastAsia="仿宋_GB2312"/>
          <w:b w:val="0"/>
          <w:bCs w:val="0"/>
          <w:color w:val="auto"/>
          <w:sz w:val="32"/>
          <w:szCs w:val="32"/>
          <w:lang w:eastAsia="zh-CN"/>
        </w:rPr>
        <w:t>；</w:t>
      </w:r>
    </w:p>
    <w:p>
      <w:pPr>
        <w:widowControl/>
        <w:spacing w:line="560" w:lineRule="exact"/>
        <w:ind w:firstLine="640" w:firstLineChars="200"/>
        <w:jc w:val="left"/>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常用中药汤剂</w:t>
      </w:r>
      <w:r>
        <w:rPr>
          <w:rFonts w:hint="eastAsia" w:ascii="仿宋_GB2312" w:eastAsia="仿宋_GB2312"/>
          <w:b w:val="0"/>
          <w:bCs w:val="0"/>
          <w:color w:val="auto"/>
          <w:sz w:val="32"/>
          <w:szCs w:val="32"/>
        </w:rPr>
        <w:t>：补中益气汤《脾胃论》）加减。</w:t>
      </w:r>
    </w:p>
    <w:p>
      <w:pPr>
        <w:widowControl/>
        <w:spacing w:line="560" w:lineRule="exact"/>
        <w:ind w:firstLine="640" w:firstLineChars="200"/>
        <w:jc w:val="left"/>
        <w:rPr>
          <w:rFonts w:ascii="仿宋_GB2312" w:hAnsi="宋体" w:eastAsia="仿宋_GB2312" w:cs="宋体"/>
          <w:b w:val="0"/>
          <w:bCs w:val="0"/>
          <w:color w:val="auto"/>
          <w:kern w:val="0"/>
          <w:sz w:val="32"/>
          <w:szCs w:val="32"/>
        </w:rPr>
      </w:pPr>
      <w:r>
        <w:rPr>
          <w:rFonts w:hint="eastAsia" w:ascii="仿宋_GB2312" w:hAnsi="宋体" w:eastAsia="仿宋_GB2312" w:cs="宋体"/>
          <w:b w:val="0"/>
          <w:bCs w:val="0"/>
          <w:color w:val="auto"/>
          <w:kern w:val="0"/>
          <w:sz w:val="32"/>
          <w:szCs w:val="32"/>
        </w:rPr>
        <w:t xml:space="preserve">3.脾肾阳虚证 </w:t>
      </w:r>
    </w:p>
    <w:p>
      <w:pPr>
        <w:widowControl/>
        <w:spacing w:line="560" w:lineRule="exact"/>
        <w:ind w:firstLine="640" w:firstLineChars="200"/>
        <w:jc w:val="lef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治法：温阳利咽</w:t>
      </w:r>
      <w:r>
        <w:rPr>
          <w:rFonts w:hint="eastAsia" w:ascii="仿宋_GB2312" w:eastAsia="仿宋_GB2312"/>
          <w:b w:val="0"/>
          <w:bCs w:val="0"/>
          <w:color w:val="auto"/>
          <w:sz w:val="32"/>
          <w:szCs w:val="32"/>
          <w:lang w:eastAsia="zh-CN"/>
        </w:rPr>
        <w:t>；</w:t>
      </w:r>
    </w:p>
    <w:p>
      <w:pPr>
        <w:widowControl/>
        <w:spacing w:line="560" w:lineRule="exact"/>
        <w:ind w:firstLine="640" w:firstLineChars="200"/>
        <w:jc w:val="lef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val="en-US" w:eastAsia="zh-CN"/>
        </w:rPr>
        <w:t>常用中药汤剂</w:t>
      </w:r>
      <w:r>
        <w:rPr>
          <w:rFonts w:hint="eastAsia" w:ascii="仿宋_GB2312" w:eastAsia="仿宋_GB2312"/>
          <w:b w:val="0"/>
          <w:bCs w:val="0"/>
          <w:color w:val="auto"/>
          <w:sz w:val="32"/>
          <w:szCs w:val="32"/>
        </w:rPr>
        <w:t>：附子理中汤（《阎氏小儿方论》）加减</w:t>
      </w:r>
      <w:r>
        <w:rPr>
          <w:rFonts w:hint="eastAsia" w:ascii="仿宋_GB2312" w:eastAsia="仿宋_GB2312"/>
          <w:b w:val="0"/>
          <w:bCs w:val="0"/>
          <w:color w:val="auto"/>
          <w:sz w:val="32"/>
          <w:szCs w:val="32"/>
          <w:lang w:eastAsia="zh-CN"/>
        </w:rPr>
        <w:t>。</w:t>
      </w:r>
    </w:p>
    <w:p>
      <w:pPr>
        <w:widowControl/>
        <w:spacing w:line="560" w:lineRule="exact"/>
        <w:ind w:firstLine="640" w:firstLineChars="200"/>
        <w:jc w:val="left"/>
        <w:rPr>
          <w:rFonts w:ascii="仿宋_GB2312" w:hAnsi="宋体" w:eastAsia="仿宋_GB2312" w:cs="宋体"/>
          <w:b w:val="0"/>
          <w:bCs w:val="0"/>
          <w:color w:val="auto"/>
          <w:kern w:val="0"/>
          <w:sz w:val="32"/>
          <w:szCs w:val="32"/>
        </w:rPr>
      </w:pPr>
      <w:r>
        <w:rPr>
          <w:rFonts w:hint="eastAsia" w:ascii="仿宋_GB2312" w:hAnsi="宋体" w:eastAsia="仿宋_GB2312" w:cs="宋体"/>
          <w:b w:val="0"/>
          <w:bCs w:val="0"/>
          <w:color w:val="auto"/>
          <w:kern w:val="0"/>
          <w:sz w:val="32"/>
          <w:szCs w:val="32"/>
        </w:rPr>
        <w:t xml:space="preserve">4.痰凝血瘀证 </w:t>
      </w:r>
    </w:p>
    <w:p>
      <w:pPr>
        <w:widowControl/>
        <w:spacing w:line="560" w:lineRule="exact"/>
        <w:ind w:firstLine="640" w:firstLineChars="200"/>
        <w:jc w:val="lef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治法：祛痰化瘀</w:t>
      </w:r>
      <w:r>
        <w:rPr>
          <w:rFonts w:hint="eastAsia" w:ascii="仿宋_GB2312" w:eastAsia="仿宋_GB2312"/>
          <w:b w:val="0"/>
          <w:bCs w:val="0"/>
          <w:color w:val="auto"/>
          <w:sz w:val="32"/>
          <w:szCs w:val="32"/>
          <w:lang w:eastAsia="zh-CN"/>
        </w:rPr>
        <w:t>；</w:t>
      </w:r>
    </w:p>
    <w:p>
      <w:pPr>
        <w:widowControl/>
        <w:spacing w:line="560" w:lineRule="exact"/>
        <w:ind w:firstLine="640" w:firstLineChars="200"/>
        <w:jc w:val="left"/>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常用中药汤剂</w:t>
      </w:r>
      <w:r>
        <w:rPr>
          <w:rFonts w:hint="eastAsia" w:ascii="仿宋_GB2312" w:eastAsia="仿宋_GB2312"/>
          <w:b w:val="0"/>
          <w:bCs w:val="0"/>
          <w:color w:val="auto"/>
          <w:sz w:val="32"/>
          <w:szCs w:val="32"/>
        </w:rPr>
        <w:t>：贝母瓜蒌散（《医学新悟》）加减。</w:t>
      </w:r>
    </w:p>
    <w:p>
      <w:pPr>
        <w:snapToGrid w:val="0"/>
        <w:spacing w:line="560" w:lineRule="exact"/>
        <w:ind w:firstLine="642"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（二）中医特色疗法</w:t>
      </w:r>
    </w:p>
    <w:p>
      <w:pPr>
        <w:widowControl/>
        <w:spacing w:line="560" w:lineRule="exact"/>
        <w:ind w:firstLine="642" w:firstLineChars="200"/>
        <w:jc w:val="left"/>
        <w:rPr>
          <w:rFonts w:ascii="仿宋_GB2312" w:hAnsi="宋体" w:eastAsia="仿宋_GB2312" w:cs="宋体"/>
          <w:kern w:val="0"/>
          <w:sz w:val="32"/>
          <w:szCs w:val="32"/>
        </w:rPr>
      </w:pPr>
      <w:r>
        <w:rPr>
          <w:rFonts w:hint="eastAsia" w:ascii="仿宋_GB2312" w:hAnsi="宋体" w:eastAsia="仿宋_GB2312" w:cs="宋体"/>
          <w:b/>
          <w:bCs/>
          <w:color w:val="000000"/>
          <w:kern w:val="0"/>
          <w:sz w:val="32"/>
          <w:szCs w:val="32"/>
        </w:rPr>
        <w:t>1.体针</w:t>
      </w:r>
    </w:p>
    <w:p>
      <w:pPr>
        <w:widowControl/>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取肺俞、太溪、足三里为主穴，以尺泽、内关、三阴交等为配穴。每次主穴、配穴各取 1</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2 穴，根据</w:t>
      </w:r>
      <w:r>
        <w:rPr>
          <w:rFonts w:hint="eastAsia" w:ascii="仿宋_GB2312" w:hAnsi="宋体" w:eastAsia="仿宋_GB2312" w:cs="宋体"/>
          <w:color w:val="000000"/>
          <w:kern w:val="0"/>
          <w:sz w:val="32"/>
          <w:szCs w:val="32"/>
          <w:lang w:val="en-US" w:eastAsia="zh-CN"/>
        </w:rPr>
        <w:t>辨</w:t>
      </w:r>
      <w:r>
        <w:rPr>
          <w:rFonts w:hint="eastAsia" w:ascii="仿宋_GB2312" w:hAnsi="宋体" w:eastAsia="仿宋_GB2312" w:cs="宋体"/>
          <w:color w:val="000000"/>
          <w:kern w:val="0"/>
          <w:sz w:val="32"/>
          <w:szCs w:val="32"/>
        </w:rPr>
        <w:t>证采用补泻手法，每日一次，5-10次为一疗程。</w:t>
      </w:r>
    </w:p>
    <w:p>
      <w:pPr>
        <w:widowControl/>
        <w:spacing w:line="560" w:lineRule="exact"/>
        <w:ind w:firstLine="642" w:firstLineChars="200"/>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2.灸法</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color w:val="000000"/>
          <w:kern w:val="0"/>
          <w:sz w:val="32"/>
          <w:szCs w:val="32"/>
        </w:rPr>
        <w:t>取合谷、足三里、三阴交、血海、肺俞、肾俞等穴，悬灸或隔姜灸，每次2</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3穴，每穴20分钟，10次为一疗程。适用于脾气虚弱证、脾肾阳虚证</w:t>
      </w:r>
      <w:r>
        <w:rPr>
          <w:rFonts w:hint="eastAsia" w:ascii="仿宋_GB2312" w:hAnsi="宋体" w:eastAsia="仿宋_GB2312" w:cs="宋体"/>
          <w:color w:val="000000"/>
          <w:kern w:val="0"/>
          <w:sz w:val="32"/>
          <w:szCs w:val="32"/>
          <w:lang w:eastAsia="zh-CN"/>
        </w:rPr>
        <w:t>。</w:t>
      </w:r>
    </w:p>
    <w:p>
      <w:pPr>
        <w:widowControl/>
        <w:numPr>
          <w:ilvl w:val="0"/>
          <w:numId w:val="2"/>
        </w:numPr>
        <w:spacing w:line="560" w:lineRule="exact"/>
        <w:ind w:firstLine="642" w:firstLineChars="200"/>
        <w:jc w:val="left"/>
        <w:rPr>
          <w:rFonts w:hint="eastAsia" w:ascii="仿宋_GB2312" w:hAnsi="宋体" w:eastAsia="仿宋_GB2312" w:cs="宋体"/>
          <w:b/>
          <w:bCs/>
          <w:color w:val="000000"/>
          <w:kern w:val="0"/>
          <w:sz w:val="32"/>
          <w:szCs w:val="32"/>
          <w:lang w:val="en-US" w:eastAsia="zh-Hans"/>
        </w:rPr>
      </w:pPr>
      <w:r>
        <w:rPr>
          <w:rFonts w:hint="eastAsia" w:ascii="仿宋_GB2312" w:hAnsi="宋体" w:eastAsia="仿宋_GB2312" w:cs="宋体"/>
          <w:b/>
          <w:bCs/>
          <w:color w:val="000000"/>
          <w:kern w:val="0"/>
          <w:sz w:val="32"/>
          <w:szCs w:val="32"/>
        </w:rPr>
        <w:t>耳穴</w:t>
      </w:r>
      <w:r>
        <w:rPr>
          <w:rFonts w:hint="eastAsia" w:ascii="仿宋_GB2312" w:hAnsi="宋体" w:eastAsia="仿宋_GB2312" w:cs="宋体"/>
          <w:b/>
          <w:bCs/>
          <w:color w:val="000000"/>
          <w:kern w:val="0"/>
          <w:sz w:val="32"/>
          <w:szCs w:val="32"/>
          <w:lang w:val="en-US" w:eastAsia="zh-Hans"/>
        </w:rPr>
        <w:t>压豆</w:t>
      </w:r>
    </w:p>
    <w:p>
      <w:pPr>
        <w:widowControl/>
        <w:numPr>
          <w:ilvl w:val="0"/>
          <w:numId w:val="0"/>
        </w:numPr>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部位：</w:t>
      </w:r>
      <w:r>
        <w:rPr>
          <w:rFonts w:hint="eastAsia" w:ascii="仿宋_GB2312" w:hAnsi="宋体" w:eastAsia="仿宋_GB2312" w:cs="宋体"/>
          <w:color w:val="000000"/>
          <w:kern w:val="0"/>
          <w:sz w:val="32"/>
          <w:szCs w:val="32"/>
        </w:rPr>
        <w:t>咽喉、肺、肾、心、肾上腺、内分泌、神门</w:t>
      </w:r>
      <w:r>
        <w:rPr>
          <w:rFonts w:hint="eastAsia" w:ascii="仿宋_GB2312" w:hAnsi="宋体" w:eastAsia="仿宋_GB2312" w:cs="宋体"/>
          <w:color w:val="000000"/>
          <w:kern w:val="0"/>
          <w:sz w:val="32"/>
          <w:szCs w:val="32"/>
          <w:lang w:eastAsia="zh-CN"/>
        </w:rPr>
        <w:t>。</w:t>
      </w:r>
    </w:p>
    <w:p>
      <w:pPr>
        <w:widowControl/>
        <w:numPr>
          <w:ilvl w:val="0"/>
          <w:numId w:val="0"/>
        </w:num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lang w:eastAsia="zh-CN"/>
        </w:rPr>
        <w:t>操作：</w:t>
      </w:r>
      <w:r>
        <w:rPr>
          <w:rFonts w:hint="eastAsia" w:ascii="仿宋_GB2312" w:hAnsi="仿宋_GB2312" w:eastAsia="仿宋_GB2312" w:cs="仿宋_GB2312"/>
          <w:color w:val="000000"/>
          <w:sz w:val="32"/>
          <w:szCs w:val="32"/>
        </w:rPr>
        <w:t>治疗前用75%酒精消毒耳廓后用耳针或粘有王不留行籽的胶布小方块对准穴位点贴敷好，嘱患者用手反复按压进行刺激，每次1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2分钟，每日按2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3次，两耳交替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隔日一次，10次为一疗程。</w:t>
      </w:r>
    </w:p>
    <w:p>
      <w:pPr>
        <w:widowControl/>
        <w:spacing w:line="560" w:lineRule="exact"/>
        <w:ind w:firstLine="642" w:firstLineChars="200"/>
        <w:jc w:val="left"/>
        <w:rPr>
          <w:rFonts w:ascii="仿宋_GB2312" w:hAnsi="宋体" w:eastAsia="仿宋_GB2312" w:cs="宋体"/>
          <w:b/>
          <w:kern w:val="0"/>
          <w:sz w:val="32"/>
          <w:szCs w:val="32"/>
        </w:rPr>
      </w:pPr>
      <w:r>
        <w:rPr>
          <w:rFonts w:hint="eastAsia" w:ascii="仿宋_GB2312" w:hAnsi="宋体" w:eastAsia="仿宋_GB2312" w:cs="宋体"/>
          <w:b/>
          <w:color w:val="000000"/>
          <w:kern w:val="0"/>
          <w:sz w:val="32"/>
          <w:szCs w:val="32"/>
          <w:lang w:val="en-US" w:eastAsia="zh-CN"/>
        </w:rPr>
        <w:t>4</w:t>
      </w:r>
      <w:r>
        <w:rPr>
          <w:rFonts w:hint="eastAsia" w:ascii="仿宋_GB2312" w:hAnsi="宋体" w:eastAsia="仿宋_GB2312" w:cs="宋体"/>
          <w:b/>
          <w:color w:val="000000"/>
          <w:kern w:val="0"/>
          <w:sz w:val="32"/>
          <w:szCs w:val="32"/>
        </w:rPr>
        <w:t>.局部治疗</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含漱：可选用银花、桔梗、甘草等中药煎水含漱。</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吹药：利咽止痛中药粉剂，直接喷于咽部。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含服：生津利咽中药丸或片剂含服。</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中</w:t>
      </w:r>
      <w:r>
        <w:rPr>
          <w:rFonts w:hint="eastAsia" w:ascii="仿宋_GB2312" w:hAnsi="宋体" w:eastAsia="仿宋_GB2312"/>
          <w:sz w:val="32"/>
          <w:szCs w:val="32"/>
        </w:rPr>
        <w:t>药吸入：选用利咽中药进行蒸气或雾化吸入。</w:t>
      </w:r>
    </w:p>
    <w:p>
      <w:pPr>
        <w:spacing w:line="560" w:lineRule="exact"/>
        <w:ind w:firstLine="642" w:firstLineChars="200"/>
        <w:rPr>
          <w:rFonts w:ascii="仿宋_GB2312" w:hAnsi="宋体" w:eastAsia="仿宋_GB2312"/>
          <w:b/>
          <w:sz w:val="32"/>
          <w:szCs w:val="32"/>
        </w:rPr>
      </w:pPr>
      <w:r>
        <w:rPr>
          <w:rFonts w:ascii="仿宋_GB2312" w:hAnsi="宋体" w:eastAsia="仿宋_GB2312"/>
          <w:b/>
          <w:sz w:val="32"/>
          <w:szCs w:val="32"/>
        </w:rPr>
        <w:t>6</w:t>
      </w:r>
      <w:r>
        <w:rPr>
          <w:rFonts w:hint="eastAsia" w:ascii="仿宋_GB2312" w:hAnsi="宋体" w:eastAsia="仿宋_GB2312"/>
          <w:b/>
          <w:sz w:val="32"/>
          <w:szCs w:val="32"/>
        </w:rPr>
        <w:t>.其他疗法：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按摩：于喉结两侧或沿颈椎双侧，纵向上下反复，轻轻揉按。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咽后壁淋巴滤泡增多，咽侧索增生肥厚可配合刺血法、割治法、烙治法，亦可配合低温等离子射频治疗、微波疗法、冷冻治疗等。</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对于咽干、咽痒、咳嗽久治不愈者可以配合中药贴敷、中药离子导入等。</w:t>
      </w:r>
    </w:p>
    <w:p>
      <w:pPr>
        <w:pStyle w:val="4"/>
        <w:snapToGrid w:val="0"/>
        <w:spacing w:before="0" w:beforeAutospacing="0" w:after="0" w:afterAutospacing="0" w:line="560" w:lineRule="exact"/>
        <w:ind w:firstLine="640" w:firstLineChars="200"/>
        <w:jc w:val="both"/>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rPr>
        <w:t>四、健康指导建议</w:t>
      </w:r>
    </w:p>
    <w:p>
      <w:pPr>
        <w:pStyle w:val="4"/>
        <w:snapToGrid w:val="0"/>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val="en-US" w:eastAsia="zh-CN"/>
        </w:rPr>
        <w:t>日常</w:t>
      </w:r>
      <w:r>
        <w:rPr>
          <w:rFonts w:hint="eastAsia" w:ascii="楷体_GB2312" w:hAnsi="楷体_GB2312" w:eastAsia="楷体_GB2312" w:cs="楷体_GB2312"/>
          <w:b/>
          <w:sz w:val="32"/>
          <w:szCs w:val="32"/>
        </w:rPr>
        <w:t>调摄</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饮食宜清淡，不吃零食，不吃辛辣刺激食品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睡前不加</w:t>
      </w:r>
      <w:r>
        <w:rPr>
          <w:rFonts w:hint="eastAsia" w:ascii="仿宋_GB2312" w:hAnsi="仿宋_GB2312" w:eastAsia="仿宋_GB2312" w:cs="仿宋_GB2312"/>
          <w:bCs/>
          <w:color w:val="auto"/>
          <w:sz w:val="32"/>
          <w:szCs w:val="32"/>
        </w:rPr>
        <w:t>餐，戒烟酒；减少或避免长时间过度用声；改善工作和生活环境，避免粉尘和有害气体刺激。</w:t>
      </w:r>
      <w:r>
        <w:rPr>
          <w:rFonts w:hint="eastAsia" w:ascii="仿宋_GB2312" w:hAnsi="楷体_GB2312" w:eastAsia="仿宋_GB2312" w:cs="楷体_GB2312"/>
          <w:color w:val="auto"/>
          <w:sz w:val="32"/>
          <w:szCs w:val="32"/>
        </w:rPr>
        <w:t>注意口腔</w:t>
      </w:r>
      <w:r>
        <w:rPr>
          <w:rFonts w:hint="eastAsia" w:ascii="仿宋_GB2312" w:hAnsi="楷体_GB2312" w:eastAsia="仿宋_GB2312" w:cs="楷体_GB2312"/>
          <w:color w:val="auto"/>
          <w:sz w:val="32"/>
          <w:szCs w:val="32"/>
          <w:lang w:eastAsia="zh-CN"/>
        </w:rPr>
        <w:t>、</w:t>
      </w:r>
      <w:bookmarkStart w:id="1" w:name="_GoBack"/>
      <w:bookmarkEnd w:id="1"/>
      <w:r>
        <w:rPr>
          <w:rFonts w:hint="eastAsia" w:ascii="仿宋_GB2312" w:hAnsi="楷体_GB2312" w:eastAsia="仿宋_GB2312" w:cs="楷体_GB2312"/>
          <w:color w:val="auto"/>
          <w:sz w:val="32"/>
          <w:szCs w:val="32"/>
        </w:rPr>
        <w:t>咽喉部的卫生</w:t>
      </w:r>
      <w:r>
        <w:rPr>
          <w:rFonts w:hint="eastAsia" w:ascii="仿宋_GB2312" w:hAnsi="楷体_GB2312" w:eastAsia="仿宋_GB2312" w:cs="楷体_GB2312"/>
          <w:sz w:val="32"/>
          <w:szCs w:val="32"/>
        </w:rPr>
        <w:t>护理。</w:t>
      </w:r>
    </w:p>
    <w:p>
      <w:pPr>
        <w:pStyle w:val="4"/>
        <w:snapToGrid w:val="0"/>
        <w:spacing w:before="0" w:beforeAutospacing="0" w:after="0" w:afterAutospacing="0" w:line="560" w:lineRule="exact"/>
        <w:ind w:firstLine="642"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（二）药茶指导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1.罗汉果茶</w:t>
      </w:r>
      <w:r>
        <w:rPr>
          <w:rFonts w:hint="eastAsia" w:ascii="仿宋_GB2312" w:eastAsia="仿宋_GB2312"/>
          <w:sz w:val="32"/>
          <w:szCs w:val="32"/>
          <w:lang w:eastAsia="zh-CN"/>
        </w:rPr>
        <w:t>：</w:t>
      </w:r>
      <w:r>
        <w:rPr>
          <w:rFonts w:hint="eastAsia" w:ascii="仿宋_GB2312" w:eastAsia="仿宋_GB2312"/>
          <w:sz w:val="32"/>
          <w:szCs w:val="32"/>
        </w:rPr>
        <w:t>罗汉果1个切碎，沸水冲泡10分钟后饮</w:t>
      </w:r>
      <w:r>
        <w:rPr>
          <w:rFonts w:hint="eastAsia" w:ascii="仿宋_GB2312" w:eastAsia="仿宋_GB2312"/>
          <w:sz w:val="32"/>
          <w:szCs w:val="32"/>
          <w:lang w:val="en-US" w:eastAsia="zh-CN"/>
        </w:rPr>
        <w:t>用</w:t>
      </w:r>
      <w:r>
        <w:rPr>
          <w:rFonts w:hint="eastAsia" w:ascii="仿宋_GB2312" w:eastAsia="仿宋_GB2312"/>
          <w:sz w:val="32"/>
          <w:szCs w:val="32"/>
        </w:rPr>
        <w:t>。</w:t>
      </w:r>
      <w:r>
        <w:rPr>
          <w:rFonts w:hint="eastAsia" w:ascii="仿宋_GB2312" w:eastAsia="仿宋_GB2312"/>
          <w:sz w:val="32"/>
          <w:szCs w:val="32"/>
          <w:lang w:val="en-US" w:eastAsia="zh-CN"/>
        </w:rPr>
        <w:t>可</w:t>
      </w:r>
      <w:r>
        <w:rPr>
          <w:rFonts w:hint="eastAsia" w:ascii="仿宋_GB2312" w:eastAsia="仿宋_GB2312"/>
          <w:sz w:val="32"/>
          <w:szCs w:val="32"/>
        </w:rPr>
        <w:t>清肺化痰，止渴润喉。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2.大海生地茶</w:t>
      </w:r>
      <w:r>
        <w:rPr>
          <w:rFonts w:hint="eastAsia" w:ascii="仿宋_GB2312" w:eastAsia="仿宋_GB2312"/>
          <w:sz w:val="32"/>
          <w:szCs w:val="32"/>
          <w:lang w:eastAsia="zh-CN"/>
        </w:rPr>
        <w:t>：</w:t>
      </w:r>
      <w:r>
        <w:rPr>
          <w:rFonts w:hint="eastAsia" w:ascii="仿宋_GB2312" w:eastAsia="仿宋_GB2312"/>
          <w:sz w:val="32"/>
          <w:szCs w:val="32"/>
        </w:rPr>
        <w:t>胖大海5枚，生地12</w:t>
      </w:r>
      <w:r>
        <w:rPr>
          <w:rFonts w:hint="eastAsia" w:ascii="仿宋_GB2312" w:eastAsia="仿宋_GB2312"/>
          <w:sz w:val="32"/>
          <w:szCs w:val="32"/>
          <w:lang w:eastAsia="zh-CN"/>
        </w:rPr>
        <w:t>克</w:t>
      </w:r>
      <w:r>
        <w:rPr>
          <w:rFonts w:hint="eastAsia" w:ascii="仿宋_GB2312" w:eastAsia="仿宋_GB2312"/>
          <w:sz w:val="32"/>
          <w:szCs w:val="32"/>
        </w:rPr>
        <w:t>，冰糖30</w:t>
      </w:r>
      <w:r>
        <w:rPr>
          <w:rFonts w:hint="eastAsia" w:ascii="仿宋_GB2312" w:eastAsia="仿宋_GB2312"/>
          <w:sz w:val="32"/>
          <w:szCs w:val="32"/>
          <w:lang w:eastAsia="zh-CN"/>
        </w:rPr>
        <w:t>克</w:t>
      </w:r>
      <w:r>
        <w:rPr>
          <w:rFonts w:hint="eastAsia" w:ascii="仿宋_GB2312" w:eastAsia="仿宋_GB2312"/>
          <w:sz w:val="32"/>
          <w:szCs w:val="32"/>
        </w:rPr>
        <w:t>，茶适量。</w:t>
      </w:r>
      <w:r>
        <w:rPr>
          <w:rFonts w:hint="eastAsia" w:ascii="仿宋_GB2312" w:eastAsia="仿宋_GB2312"/>
          <w:sz w:val="32"/>
          <w:szCs w:val="32"/>
          <w:lang w:val="en-US" w:eastAsia="zh-CN"/>
        </w:rPr>
        <w:t>可</w:t>
      </w:r>
      <w:r>
        <w:rPr>
          <w:rFonts w:hint="eastAsia" w:ascii="仿宋_GB2312" w:eastAsia="仿宋_GB2312"/>
          <w:sz w:val="32"/>
          <w:szCs w:val="32"/>
        </w:rPr>
        <w:t>清肺利咽，滋阴生津。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.橄榄海蜜茶</w:t>
      </w:r>
      <w:r>
        <w:rPr>
          <w:rFonts w:hint="eastAsia" w:ascii="仿宋_GB2312" w:eastAsia="仿宋_GB2312"/>
          <w:sz w:val="32"/>
          <w:szCs w:val="32"/>
          <w:lang w:eastAsia="zh-CN"/>
        </w:rPr>
        <w:t>：</w:t>
      </w:r>
      <w:r>
        <w:rPr>
          <w:rFonts w:hint="eastAsia" w:ascii="仿宋_GB2312" w:eastAsia="仿宋_GB2312"/>
          <w:sz w:val="32"/>
          <w:szCs w:val="32"/>
        </w:rPr>
        <w:t>橄榄3</w:t>
      </w:r>
      <w:r>
        <w:rPr>
          <w:rFonts w:hint="eastAsia" w:ascii="仿宋_GB2312" w:eastAsia="仿宋_GB2312"/>
          <w:sz w:val="32"/>
          <w:szCs w:val="32"/>
          <w:lang w:eastAsia="zh-CN"/>
        </w:rPr>
        <w:t>克</w:t>
      </w:r>
      <w:r>
        <w:rPr>
          <w:rFonts w:hint="eastAsia" w:ascii="仿宋_GB2312" w:eastAsia="仿宋_GB2312"/>
          <w:sz w:val="32"/>
          <w:szCs w:val="32"/>
        </w:rPr>
        <w:t>，胖大海3枚，绿茶3</w:t>
      </w:r>
      <w:r>
        <w:rPr>
          <w:rFonts w:hint="eastAsia" w:ascii="仿宋_GB2312" w:eastAsia="仿宋_GB2312"/>
          <w:sz w:val="32"/>
          <w:szCs w:val="32"/>
          <w:lang w:eastAsia="zh-CN"/>
        </w:rPr>
        <w:t>克</w:t>
      </w:r>
      <w:r>
        <w:rPr>
          <w:rFonts w:hint="eastAsia" w:ascii="仿宋_GB2312" w:eastAsia="仿宋_GB2312"/>
          <w:sz w:val="32"/>
          <w:szCs w:val="32"/>
        </w:rPr>
        <w:t>，蜂蜜1匙</w:t>
      </w:r>
      <w:r>
        <w:rPr>
          <w:rFonts w:hint="eastAsia" w:ascii="仿宋_GB2312" w:eastAsia="仿宋_GB2312"/>
          <w:sz w:val="32"/>
          <w:szCs w:val="32"/>
          <w:lang w:eastAsia="zh-CN"/>
        </w:rPr>
        <w:t>，</w:t>
      </w:r>
      <w:r>
        <w:rPr>
          <w:rFonts w:hint="eastAsia" w:ascii="仿宋_GB2312" w:eastAsia="仿宋_GB2312"/>
          <w:sz w:val="32"/>
          <w:szCs w:val="32"/>
        </w:rPr>
        <w:t>先将橄榄放入清水中煮片刻，然后冲泡胖大海</w:t>
      </w:r>
      <w:r>
        <w:rPr>
          <w:rFonts w:hint="eastAsia" w:ascii="仿宋_GB2312" w:eastAsia="仿宋_GB2312"/>
          <w:sz w:val="32"/>
          <w:szCs w:val="32"/>
          <w:lang w:eastAsia="zh-CN"/>
        </w:rPr>
        <w:t>、</w:t>
      </w:r>
      <w:r>
        <w:rPr>
          <w:rFonts w:hint="eastAsia" w:ascii="仿宋_GB2312" w:eastAsia="仿宋_GB2312"/>
          <w:sz w:val="32"/>
          <w:szCs w:val="32"/>
        </w:rPr>
        <w:t>绿茶，入蜂蜜调匀</w:t>
      </w:r>
      <w:r>
        <w:rPr>
          <w:rFonts w:hint="eastAsia" w:ascii="仿宋_GB2312" w:eastAsia="仿宋_GB2312"/>
          <w:sz w:val="32"/>
          <w:szCs w:val="32"/>
          <w:lang w:eastAsia="zh-CN"/>
        </w:rPr>
        <w:t>。</w:t>
      </w:r>
      <w:r>
        <w:rPr>
          <w:rFonts w:hint="eastAsia" w:ascii="仿宋_GB2312" w:eastAsia="仿宋_GB2312"/>
          <w:sz w:val="32"/>
          <w:szCs w:val="32"/>
          <w:lang w:val="en-US" w:eastAsia="zh-CN"/>
        </w:rPr>
        <w:t>可</w:t>
      </w:r>
      <w:r>
        <w:rPr>
          <w:rFonts w:hint="eastAsia" w:ascii="仿宋_GB2312" w:eastAsia="仿宋_GB2312"/>
          <w:sz w:val="32"/>
          <w:szCs w:val="32"/>
        </w:rPr>
        <w:t>清热解毒，利咽润喉。</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.桑菊杏仁茶</w:t>
      </w:r>
      <w:r>
        <w:rPr>
          <w:rFonts w:hint="eastAsia" w:ascii="仿宋_GB2312" w:eastAsia="仿宋_GB2312"/>
          <w:sz w:val="32"/>
          <w:szCs w:val="32"/>
          <w:lang w:eastAsia="zh-CN"/>
        </w:rPr>
        <w:t>：</w:t>
      </w:r>
      <w:r>
        <w:rPr>
          <w:rFonts w:hint="eastAsia" w:ascii="仿宋_GB2312" w:eastAsia="仿宋_GB2312"/>
          <w:sz w:val="32"/>
          <w:szCs w:val="32"/>
        </w:rPr>
        <w:t>桑叶10</w:t>
      </w:r>
      <w:r>
        <w:rPr>
          <w:rFonts w:hint="eastAsia" w:ascii="仿宋_GB2312" w:eastAsia="仿宋_GB2312"/>
          <w:sz w:val="32"/>
          <w:szCs w:val="32"/>
          <w:lang w:eastAsia="zh-CN"/>
        </w:rPr>
        <w:t>克</w:t>
      </w:r>
      <w:r>
        <w:rPr>
          <w:rFonts w:hint="eastAsia" w:ascii="仿宋_GB2312" w:eastAsia="仿宋_GB2312"/>
          <w:sz w:val="32"/>
          <w:szCs w:val="32"/>
        </w:rPr>
        <w:t>，菊花10</w:t>
      </w:r>
      <w:r>
        <w:rPr>
          <w:rFonts w:hint="eastAsia" w:ascii="仿宋_GB2312" w:eastAsia="仿宋_GB2312"/>
          <w:sz w:val="32"/>
          <w:szCs w:val="32"/>
          <w:lang w:eastAsia="zh-CN"/>
        </w:rPr>
        <w:t>克</w:t>
      </w:r>
      <w:r>
        <w:rPr>
          <w:rFonts w:hint="eastAsia" w:ascii="仿宋_GB2312" w:eastAsia="仿宋_GB2312"/>
          <w:sz w:val="32"/>
          <w:szCs w:val="32"/>
        </w:rPr>
        <w:t>，杏仁10</w:t>
      </w:r>
      <w:r>
        <w:rPr>
          <w:rFonts w:hint="eastAsia" w:ascii="仿宋_GB2312" w:eastAsia="仿宋_GB2312"/>
          <w:sz w:val="32"/>
          <w:szCs w:val="32"/>
          <w:lang w:eastAsia="zh-CN"/>
        </w:rPr>
        <w:t>克</w:t>
      </w:r>
      <w:r>
        <w:rPr>
          <w:rFonts w:hint="eastAsia" w:ascii="仿宋_GB2312" w:eastAsia="仿宋_GB2312"/>
          <w:sz w:val="32"/>
          <w:szCs w:val="32"/>
        </w:rPr>
        <w:t>，冰糖适量。杏仁捣碎后与桑叶、菊花、冰糖加沸水冲泡</w:t>
      </w:r>
      <w:r>
        <w:rPr>
          <w:rFonts w:hint="eastAsia" w:ascii="仿宋_GB2312" w:eastAsia="仿宋_GB2312"/>
          <w:sz w:val="32"/>
          <w:szCs w:val="32"/>
          <w:lang w:eastAsia="zh-CN"/>
        </w:rPr>
        <w:t>。</w:t>
      </w:r>
      <w:r>
        <w:rPr>
          <w:rFonts w:hint="eastAsia" w:ascii="仿宋_GB2312" w:eastAsia="仿宋_GB2312"/>
          <w:sz w:val="32"/>
          <w:szCs w:val="32"/>
          <w:lang w:val="en-US" w:eastAsia="zh-CN"/>
        </w:rPr>
        <w:t>可</w:t>
      </w:r>
      <w:r>
        <w:rPr>
          <w:rFonts w:hint="eastAsia" w:ascii="仿宋_GB2312" w:eastAsia="仿宋_GB2312"/>
          <w:sz w:val="32"/>
          <w:szCs w:val="32"/>
        </w:rPr>
        <w:t>清热疏风，化痰利咽。</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.双根大海茶</w:t>
      </w:r>
      <w:r>
        <w:rPr>
          <w:rFonts w:hint="eastAsia" w:ascii="仿宋_GB2312" w:eastAsia="仿宋_GB2312"/>
          <w:sz w:val="32"/>
          <w:szCs w:val="32"/>
          <w:lang w:eastAsia="zh-CN"/>
        </w:rPr>
        <w:t>：</w:t>
      </w:r>
      <w:r>
        <w:rPr>
          <w:rFonts w:hint="eastAsia" w:ascii="仿宋_GB2312" w:eastAsia="仿宋_GB2312"/>
          <w:sz w:val="32"/>
          <w:szCs w:val="32"/>
        </w:rPr>
        <w:t>板蓝根15</w:t>
      </w:r>
      <w:r>
        <w:rPr>
          <w:rFonts w:hint="eastAsia" w:ascii="仿宋_GB2312" w:eastAsia="仿宋_GB2312"/>
          <w:sz w:val="32"/>
          <w:szCs w:val="32"/>
          <w:lang w:eastAsia="zh-CN"/>
        </w:rPr>
        <w:t>克</w:t>
      </w:r>
      <w:r>
        <w:rPr>
          <w:rFonts w:hint="eastAsia" w:ascii="仿宋_GB2312" w:eastAsia="仿宋_GB2312"/>
          <w:sz w:val="32"/>
          <w:szCs w:val="32"/>
        </w:rPr>
        <w:t>，山豆根10</w:t>
      </w:r>
      <w:r>
        <w:rPr>
          <w:rFonts w:hint="eastAsia" w:ascii="仿宋_GB2312" w:eastAsia="仿宋_GB2312"/>
          <w:sz w:val="32"/>
          <w:szCs w:val="32"/>
          <w:lang w:eastAsia="zh-CN"/>
        </w:rPr>
        <w:t>克</w:t>
      </w:r>
      <w:r>
        <w:rPr>
          <w:rFonts w:hint="eastAsia" w:ascii="仿宋_GB2312" w:eastAsia="仿宋_GB2312"/>
          <w:sz w:val="32"/>
          <w:szCs w:val="32"/>
        </w:rPr>
        <w:t>，甘草10</w:t>
      </w:r>
      <w:r>
        <w:rPr>
          <w:rFonts w:hint="eastAsia" w:ascii="仿宋_GB2312" w:eastAsia="仿宋_GB2312"/>
          <w:sz w:val="32"/>
          <w:szCs w:val="32"/>
          <w:lang w:eastAsia="zh-CN"/>
        </w:rPr>
        <w:t>克</w:t>
      </w:r>
      <w:r>
        <w:rPr>
          <w:rFonts w:hint="eastAsia" w:ascii="仿宋_GB2312" w:eastAsia="仿宋_GB2312"/>
          <w:sz w:val="32"/>
          <w:szCs w:val="32"/>
        </w:rPr>
        <w:t>，胖大海5</w:t>
      </w:r>
      <w:r>
        <w:rPr>
          <w:rFonts w:hint="eastAsia" w:ascii="仿宋_GB2312" w:eastAsia="仿宋_GB2312"/>
          <w:sz w:val="32"/>
          <w:szCs w:val="32"/>
          <w:lang w:eastAsia="zh-CN"/>
        </w:rPr>
        <w:t>克，</w:t>
      </w:r>
      <w:r>
        <w:rPr>
          <w:rFonts w:hint="eastAsia" w:ascii="仿宋_GB2312" w:eastAsia="仿宋_GB2312"/>
          <w:sz w:val="32"/>
          <w:szCs w:val="32"/>
        </w:rPr>
        <w:t>共置保温瓶中，用沸水冲泡，盖闷20分钟后即可当茶水饮用。</w:t>
      </w:r>
      <w:r>
        <w:rPr>
          <w:rFonts w:hint="eastAsia" w:ascii="仿宋_GB2312" w:eastAsia="仿宋_GB2312"/>
          <w:sz w:val="32"/>
          <w:szCs w:val="32"/>
          <w:lang w:val="en-US" w:eastAsia="zh-CN"/>
        </w:rPr>
        <w:t>可</w:t>
      </w:r>
      <w:r>
        <w:rPr>
          <w:rFonts w:hint="eastAsia" w:ascii="仿宋_GB2312" w:eastAsia="仿宋_GB2312"/>
          <w:sz w:val="32"/>
          <w:szCs w:val="32"/>
        </w:rPr>
        <w:t>清热、解毒、利咽。</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.清音茶</w:t>
      </w:r>
      <w:r>
        <w:rPr>
          <w:rFonts w:hint="eastAsia" w:ascii="仿宋_GB2312" w:eastAsia="仿宋_GB2312"/>
          <w:sz w:val="32"/>
          <w:szCs w:val="32"/>
          <w:lang w:eastAsia="zh-CN"/>
        </w:rPr>
        <w:t>：</w:t>
      </w:r>
      <w:r>
        <w:rPr>
          <w:rFonts w:hint="eastAsia" w:ascii="仿宋_GB2312" w:eastAsia="仿宋_GB2312"/>
          <w:sz w:val="32"/>
          <w:szCs w:val="32"/>
        </w:rPr>
        <w:t>胖大海5</w:t>
      </w:r>
      <w:r>
        <w:rPr>
          <w:rFonts w:hint="eastAsia" w:ascii="仿宋_GB2312" w:eastAsia="仿宋_GB2312"/>
          <w:sz w:val="32"/>
          <w:szCs w:val="32"/>
          <w:lang w:eastAsia="zh-CN"/>
        </w:rPr>
        <w:t>克</w:t>
      </w:r>
      <w:r>
        <w:rPr>
          <w:rFonts w:hint="eastAsia" w:ascii="仿宋_GB2312" w:eastAsia="仿宋_GB2312"/>
          <w:sz w:val="32"/>
          <w:szCs w:val="32"/>
        </w:rPr>
        <w:t>，蝉衣3</w:t>
      </w:r>
      <w:r>
        <w:rPr>
          <w:rFonts w:hint="eastAsia" w:ascii="仿宋_GB2312" w:eastAsia="仿宋_GB2312"/>
          <w:sz w:val="32"/>
          <w:szCs w:val="32"/>
          <w:lang w:eastAsia="zh-CN"/>
        </w:rPr>
        <w:t>克</w:t>
      </w:r>
      <w:r>
        <w:rPr>
          <w:rFonts w:hint="eastAsia" w:ascii="仿宋_GB2312" w:eastAsia="仿宋_GB2312"/>
          <w:sz w:val="32"/>
          <w:szCs w:val="32"/>
        </w:rPr>
        <w:t>，石斛15</w:t>
      </w:r>
      <w:r>
        <w:rPr>
          <w:rFonts w:hint="eastAsia" w:ascii="仿宋_GB2312" w:eastAsia="仿宋_GB2312"/>
          <w:sz w:val="32"/>
          <w:szCs w:val="32"/>
          <w:lang w:eastAsia="zh-CN"/>
        </w:rPr>
        <w:t>克，</w:t>
      </w:r>
      <w:r>
        <w:rPr>
          <w:rFonts w:hint="eastAsia" w:ascii="仿宋_GB2312" w:eastAsia="仿宋_GB2312"/>
          <w:sz w:val="32"/>
          <w:szCs w:val="32"/>
        </w:rPr>
        <w:t>水煎代茶饮。</w:t>
      </w:r>
      <w:r>
        <w:rPr>
          <w:rFonts w:hint="eastAsia" w:ascii="仿宋_GB2312" w:eastAsia="仿宋_GB2312"/>
          <w:sz w:val="32"/>
          <w:szCs w:val="32"/>
          <w:lang w:val="en-US" w:eastAsia="zh-CN"/>
        </w:rPr>
        <w:t>可</w:t>
      </w:r>
      <w:r>
        <w:rPr>
          <w:rFonts w:hint="eastAsia" w:ascii="仿宋_GB2312" w:eastAsia="仿宋_GB2312"/>
          <w:sz w:val="32"/>
          <w:szCs w:val="32"/>
        </w:rPr>
        <w:t>养阴润喉，利咽治喑</w:t>
      </w:r>
      <w:r>
        <w:rPr>
          <w:rFonts w:hint="eastAsia" w:ascii="仿宋_GB2312" w:eastAsia="仿宋_GB2312"/>
          <w:sz w:val="32"/>
          <w:szCs w:val="32"/>
          <w:lang w:eastAsia="zh-CN"/>
        </w:rPr>
        <w:t>。</w:t>
      </w:r>
    </w:p>
    <w:p>
      <w:pPr>
        <w:spacing w:line="560" w:lineRule="exact"/>
        <w:ind w:firstLine="640" w:firstLineChars="200"/>
        <w:rPr>
          <w:rFonts w:ascii="仿宋_GB2312" w:hAnsi="仿宋_GB2312" w:eastAsia="仿宋_GB2312" w:cs="仿宋_GB2312"/>
          <w:bCs/>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.山楂利咽茶</w:t>
      </w:r>
      <w:r>
        <w:rPr>
          <w:rFonts w:hint="eastAsia" w:ascii="仿宋_GB2312" w:eastAsia="仿宋_GB2312"/>
          <w:sz w:val="32"/>
          <w:szCs w:val="32"/>
          <w:lang w:eastAsia="zh-CN"/>
        </w:rPr>
        <w:t>：</w:t>
      </w:r>
      <w:r>
        <w:rPr>
          <w:rFonts w:hint="eastAsia" w:ascii="仿宋_GB2312" w:eastAsia="仿宋_GB2312"/>
          <w:sz w:val="32"/>
          <w:szCs w:val="32"/>
        </w:rPr>
        <w:t>生山楂20</w:t>
      </w:r>
      <w:r>
        <w:rPr>
          <w:rFonts w:hint="eastAsia" w:ascii="仿宋_GB2312" w:eastAsia="仿宋_GB2312"/>
          <w:sz w:val="32"/>
          <w:szCs w:val="32"/>
          <w:lang w:eastAsia="zh-CN"/>
        </w:rPr>
        <w:t>克</w:t>
      </w:r>
      <w:r>
        <w:rPr>
          <w:rFonts w:hint="eastAsia" w:ascii="仿宋_GB2312" w:eastAsia="仿宋_GB2312"/>
          <w:sz w:val="32"/>
          <w:szCs w:val="32"/>
        </w:rPr>
        <w:t>，丹参20</w:t>
      </w:r>
      <w:r>
        <w:rPr>
          <w:rFonts w:hint="eastAsia" w:ascii="仿宋_GB2312" w:eastAsia="仿宋_GB2312"/>
          <w:sz w:val="32"/>
          <w:szCs w:val="32"/>
          <w:lang w:eastAsia="zh-CN"/>
        </w:rPr>
        <w:t>克</w:t>
      </w:r>
      <w:r>
        <w:rPr>
          <w:rFonts w:hint="eastAsia" w:ascii="仿宋_GB2312" w:eastAsia="仿宋_GB2312"/>
          <w:sz w:val="32"/>
          <w:szCs w:val="32"/>
        </w:rPr>
        <w:t>，夏枯草15</w:t>
      </w:r>
      <w:r>
        <w:rPr>
          <w:rFonts w:hint="eastAsia" w:ascii="仿宋_GB2312" w:eastAsia="仿宋_GB2312"/>
          <w:sz w:val="32"/>
          <w:szCs w:val="32"/>
          <w:lang w:eastAsia="zh-CN"/>
        </w:rPr>
        <w:t>克</w:t>
      </w:r>
      <w:r>
        <w:rPr>
          <w:rFonts w:hint="eastAsia" w:ascii="仿宋_GB2312" w:eastAsia="仿宋_GB2312"/>
          <w:sz w:val="32"/>
          <w:szCs w:val="32"/>
        </w:rPr>
        <w:t>。清水</w:t>
      </w:r>
      <w:r>
        <w:rPr>
          <w:rFonts w:hint="eastAsia" w:ascii="仿宋_GB2312" w:eastAsia="仿宋_GB2312"/>
          <w:sz w:val="32"/>
          <w:szCs w:val="32"/>
          <w:lang w:val="en-US" w:eastAsia="zh-CN"/>
        </w:rPr>
        <w:t>洗净</w:t>
      </w:r>
      <w:r>
        <w:rPr>
          <w:rFonts w:hint="eastAsia" w:ascii="仿宋_GB2312" w:eastAsia="仿宋_GB2312"/>
          <w:sz w:val="32"/>
          <w:szCs w:val="32"/>
        </w:rPr>
        <w:t>，加水煎30分钟后，滤取药汁，当茶频饮。</w:t>
      </w:r>
      <w:r>
        <w:rPr>
          <w:rFonts w:hint="eastAsia" w:ascii="仿宋_GB2312" w:eastAsia="仿宋_GB2312"/>
          <w:sz w:val="32"/>
          <w:szCs w:val="32"/>
          <w:lang w:val="en-US" w:eastAsia="zh-CN"/>
        </w:rPr>
        <w:t>可</w:t>
      </w:r>
      <w:r>
        <w:rPr>
          <w:rFonts w:hint="eastAsia" w:ascii="仿宋_GB2312" w:eastAsia="仿宋_GB2312"/>
          <w:sz w:val="32"/>
          <w:szCs w:val="32"/>
        </w:rPr>
        <w:t>活血散结，清热利咽。适用于慢性咽炎而咽部淋巴滤泡增生明显者。</w:t>
      </w:r>
    </w:p>
    <w:p>
      <w:pPr>
        <w:pStyle w:val="4"/>
        <w:snapToGrid w:val="0"/>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（四）气功疗法</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eastAsia="仿宋_GB2312"/>
          <w:sz w:val="32"/>
          <w:szCs w:val="32"/>
        </w:rPr>
        <w:t>静坐，两手轻放于两大腿，两眼微闭，舌抵上腭，安神入静，自然呼吸，意守咽部，口中蓄津，待津液满口，缓缓下咽，如此15-20分钟，然后慢慢睁开两眼，以一手拇指与其余四指轻轻揉喉部，自然呼吸</w:t>
      </w:r>
      <w:r>
        <w:rPr>
          <w:rFonts w:hint="eastAsia" w:ascii="仿宋_GB2312" w:eastAsia="仿宋_GB2312"/>
          <w:sz w:val="32"/>
          <w:szCs w:val="32"/>
          <w:lang w:eastAsia="zh-CN"/>
        </w:rPr>
        <w:t>，</w:t>
      </w:r>
      <w:r>
        <w:rPr>
          <w:rFonts w:hint="eastAsia" w:ascii="仿宋_GB2312" w:eastAsia="仿宋_GB2312"/>
          <w:sz w:val="32"/>
          <w:szCs w:val="32"/>
        </w:rPr>
        <w:t>意守手下，津液满口后，缓缓下咽，如此按揉5-7分钟。每日练2-3次，每次15-30分钟。</w:t>
      </w:r>
    </w:p>
    <w:p>
      <w:pPr>
        <w:pStyle w:val="4"/>
        <w:snapToGrid w:val="0"/>
        <w:spacing w:before="0" w:beforeAutospacing="0" w:after="0" w:afterAutospacing="0" w:line="560" w:lineRule="exact"/>
        <w:ind w:firstLine="640" w:firstLineChars="200"/>
        <w:jc w:val="both"/>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rPr>
        <w:t>五、跟踪问效</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托互联网、微信公众号等，通过“互联网+健康管理”手段，对慢性咽炎患者的饮食、运动、用药效果以及并发症的控制，进行持续跟踪和具体指导。同时，进行定期回访，了解慢性咽炎的康复情况，改善综合干预模式内容，达到科学管理慢性咽炎的目的。</w:t>
      </w: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p>
    <w:p>
      <w:pPr>
        <w:pStyle w:val="4"/>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4097" name="Text Box 1"/>
              <wp:cNvGraphicFramePr/>
              <a:graphic xmlns:a="http://schemas.openxmlformats.org/drawingml/2006/main">
                <a:graphicData uri="http://schemas.microsoft.com/office/word/2010/wordprocessingShape">
                  <wps:wsp>
                    <wps:cNvSpPr/>
                    <wps:spPr>
                      <a:xfrm>
                        <a:off x="0" y="0"/>
                        <a:ext cx="58420" cy="139700"/>
                      </a:xfrm>
                      <a:prstGeom prst="rect">
                        <a:avLst/>
                      </a:prstGeom>
                      <a:noFill/>
                      <a:ln>
                        <a:noFill/>
                      </a:ln>
                      <a:effectLst/>
                    </wps:spPr>
                    <wps:txbx>
                      <w:txbxContent>
                        <w:p>
                          <w:pPr>
                            <w:snapToGrid w:val="0"/>
                            <w:rPr>
                              <w:rFonts w:ascii="Times New Roman" w:hAnsi="Times New Roman" w:cs="Times New Roman"/>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- 8 -</w:t>
                          </w:r>
                          <w:r>
                            <w:rPr>
                              <w:rFonts w:ascii="Times New Roman" w:hAnsi="Times New Roman" w:cs="Times New Roman"/>
                              <w:sz w:val="28"/>
                              <w:szCs w:val="28"/>
                            </w:rPr>
                            <w:fldChar w:fldCharType="end"/>
                          </w:r>
                        </w:p>
                      </w:txbxContent>
                    </wps:txbx>
                    <wps:bodyPr vert="horz" wrap="none" lIns="0" tIns="0" rIns="0" bIns="0" anchor="t" upright="true">
                      <a:spAutoFit/>
                    </wps:bodyPr>
                  </wps:wsp>
                </a:graphicData>
              </a:graphic>
            </wp:anchor>
          </w:drawing>
        </mc:Choice>
        <mc:Fallback>
          <w:pict>
            <v:rect id="Text Box 1" o:spid="_x0000_s1026" o:spt="1"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JHGW2XQAAAAAgEAAA8AAAAAAAAAAQAgAAAAOAAAAGRycy9kb3du&#10;cmV2LnhtbFBLAQIUABQAAAAIAIdO4kBof53guAEAAGgDAAAOAAAAAAAAAAEAIAAAADUBAABkcnMv&#10;ZTJvRG9jLnhtbFBLBQYAAAAABgAGAFkBAABfBQAAAAA=&#10;">
              <v:fill on="f" focussize="0,0"/>
              <v:stroke on="f"/>
              <v:imagedata o:title=""/>
              <o:lock v:ext="edit" aspectratio="f"/>
              <v:textbox inset="0mm,0mm,0mm,0mm" style="mso-fit-shape-to-text:t;">
                <w:txbxContent>
                  <w:p>
                    <w:pPr>
                      <w:snapToGrid w:val="0"/>
                      <w:rPr>
                        <w:rFonts w:ascii="Times New Roman" w:hAnsi="Times New Roman" w:cs="Times New Roman"/>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- 8 -</w:t>
                    </w:r>
                    <w:r>
                      <w:rPr>
                        <w:rFonts w:ascii="Times New Roman" w:hAnsi="Times New Roman" w:cs="Times New Roman"/>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72842"/>
    <w:multiLevelType w:val="singleLevel"/>
    <w:tmpl w:val="09372842"/>
    <w:lvl w:ilvl="0" w:tentative="0">
      <w:start w:val="2"/>
      <w:numFmt w:val="chineseCounting"/>
      <w:suff w:val="nothing"/>
      <w:lvlText w:val="%1、"/>
      <w:lvlJc w:val="left"/>
      <w:rPr>
        <w:rFonts w:hint="eastAsia"/>
      </w:rPr>
    </w:lvl>
  </w:abstractNum>
  <w:abstractNum w:abstractNumId="1">
    <w:nsid w:val="63578689"/>
    <w:multiLevelType w:val="singleLevel"/>
    <w:tmpl w:val="6357868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FF2D4D"/>
    <w:rsid w:val="001102CF"/>
    <w:rsid w:val="001E0EF3"/>
    <w:rsid w:val="00431647"/>
    <w:rsid w:val="004C32A1"/>
    <w:rsid w:val="004F4587"/>
    <w:rsid w:val="00552829"/>
    <w:rsid w:val="00555DC6"/>
    <w:rsid w:val="00582216"/>
    <w:rsid w:val="005A2229"/>
    <w:rsid w:val="005C40DD"/>
    <w:rsid w:val="00665C91"/>
    <w:rsid w:val="00776C5C"/>
    <w:rsid w:val="0084547A"/>
    <w:rsid w:val="008614BF"/>
    <w:rsid w:val="00871806"/>
    <w:rsid w:val="0088308A"/>
    <w:rsid w:val="008B182E"/>
    <w:rsid w:val="008C70EE"/>
    <w:rsid w:val="0094154A"/>
    <w:rsid w:val="009A3B0F"/>
    <w:rsid w:val="009E4DE5"/>
    <w:rsid w:val="00CA0F01"/>
    <w:rsid w:val="00CF6965"/>
    <w:rsid w:val="00D22784"/>
    <w:rsid w:val="00D722E6"/>
    <w:rsid w:val="00EA7238"/>
    <w:rsid w:val="00EA7575"/>
    <w:rsid w:val="00F347BD"/>
    <w:rsid w:val="00F94375"/>
    <w:rsid w:val="00FA406B"/>
    <w:rsid w:val="00FA6ED2"/>
    <w:rsid w:val="00FC4DDE"/>
    <w:rsid w:val="00FC4F6F"/>
    <w:rsid w:val="00FE60BA"/>
    <w:rsid w:val="00FE7927"/>
    <w:rsid w:val="00FF2D4D"/>
    <w:rsid w:val="024F58D5"/>
    <w:rsid w:val="19E538EE"/>
    <w:rsid w:val="2FFE3CAB"/>
    <w:rsid w:val="374E5888"/>
    <w:rsid w:val="3A7F0BA7"/>
    <w:rsid w:val="3C1BA0D6"/>
    <w:rsid w:val="3C7F6ED1"/>
    <w:rsid w:val="3DFF6DEF"/>
    <w:rsid w:val="3E762E48"/>
    <w:rsid w:val="4FDF5EAE"/>
    <w:rsid w:val="4FFE1FDD"/>
    <w:rsid w:val="53807220"/>
    <w:rsid w:val="567F2BE9"/>
    <w:rsid w:val="56FF3651"/>
    <w:rsid w:val="5AFEC64D"/>
    <w:rsid w:val="5BEB2F19"/>
    <w:rsid w:val="5EEF82DB"/>
    <w:rsid w:val="647EDEA1"/>
    <w:rsid w:val="653D67DD"/>
    <w:rsid w:val="6D0F096D"/>
    <w:rsid w:val="6EFC3EB8"/>
    <w:rsid w:val="6F1FB6CF"/>
    <w:rsid w:val="6F7F1E9E"/>
    <w:rsid w:val="6FBE8A6B"/>
    <w:rsid w:val="775F86A2"/>
    <w:rsid w:val="777F1BEA"/>
    <w:rsid w:val="789F8161"/>
    <w:rsid w:val="797F1468"/>
    <w:rsid w:val="79EFF537"/>
    <w:rsid w:val="7BFB6DD4"/>
    <w:rsid w:val="7C3D3C5E"/>
    <w:rsid w:val="7EF77D4B"/>
    <w:rsid w:val="7F9F6045"/>
    <w:rsid w:val="7FBD00A4"/>
    <w:rsid w:val="7FFD31E8"/>
    <w:rsid w:val="7FFF4680"/>
    <w:rsid w:val="8FDBEEC4"/>
    <w:rsid w:val="A65FF0FB"/>
    <w:rsid w:val="A6ED89DD"/>
    <w:rsid w:val="A9FCFE4C"/>
    <w:rsid w:val="AB2F4D26"/>
    <w:rsid w:val="BAF74754"/>
    <w:rsid w:val="BDF7911E"/>
    <w:rsid w:val="BFFDBDD0"/>
    <w:rsid w:val="CECF90BF"/>
    <w:rsid w:val="CF98BFC8"/>
    <w:rsid w:val="CFEFD288"/>
    <w:rsid w:val="D4DCCFBC"/>
    <w:rsid w:val="DABEECCC"/>
    <w:rsid w:val="DF5F1270"/>
    <w:rsid w:val="DFD7AAB4"/>
    <w:rsid w:val="E8DF2792"/>
    <w:rsid w:val="EABF1D2D"/>
    <w:rsid w:val="EBBF157F"/>
    <w:rsid w:val="EBEFBAEB"/>
    <w:rsid w:val="EDBB1AC1"/>
    <w:rsid w:val="EEFFD41F"/>
    <w:rsid w:val="EF0626C1"/>
    <w:rsid w:val="EFF7B631"/>
    <w:rsid w:val="FAED7A2B"/>
    <w:rsid w:val="FBBA5FC9"/>
    <w:rsid w:val="FD5D65AF"/>
    <w:rsid w:val="FDBE1A77"/>
    <w:rsid w:val="FDD9437D"/>
    <w:rsid w:val="FECD71BD"/>
    <w:rsid w:val="FF6F3E91"/>
    <w:rsid w:val="FFBFC619"/>
    <w:rsid w:val="FFECA5AB"/>
    <w:rsid w:val="FFF3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Emphasis"/>
    <w:basedOn w:val="6"/>
    <w:qFormat/>
    <w:uiPriority w:val="20"/>
    <w:rPr>
      <w:i/>
    </w:rPr>
  </w:style>
  <w:style w:type="character" w:styleId="8">
    <w:name w:val="Hyperlink"/>
    <w:basedOn w:val="6"/>
    <w:qFormat/>
    <w:uiPriority w:val="99"/>
    <w:rPr>
      <w:color w:val="0000FF"/>
      <w:u w:val="single"/>
    </w:rPr>
  </w:style>
  <w:style w:type="paragraph" w:customStyle="1" w:styleId="9">
    <w:name w:val="Char Char Char Char Char Char Char Char Char"/>
    <w:basedOn w:val="1"/>
    <w:qFormat/>
    <w:uiPriority w:val="0"/>
    <w:pPr>
      <w:widowControl/>
      <w:spacing w:after="160" w:line="240" w:lineRule="exact"/>
      <w:jc w:val="left"/>
    </w:pPr>
    <w:rPr>
      <w:rFonts w:ascii="Times New Roman" w:hAnsi="Times New Roman" w:cs="Times New Roman"/>
      <w:szCs w:val="24"/>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3194</Words>
  <Characters>3305</Characters>
  <Lines>24</Lines>
  <Paragraphs>6</Paragraphs>
  <TotalTime>10</TotalTime>
  <ScaleCrop>false</ScaleCrop>
  <LinksUpToDate>false</LinksUpToDate>
  <CharactersWithSpaces>3331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2022-03-12T18:53:00Z</dcterms:created>
  <dc:creator>Lenovo</dc:creator>
  <cp:lastModifiedBy>baixin</cp:lastModifiedBy>
  <cp:lastPrinted>2022-03-13T01:46:00Z</cp:lastPrinted>
  <dcterms:modified xsi:type="dcterms:W3CDTF">2022-11-07T18:49:49Z</dcterms:modified>
  <dc:title>中医药特色健康管理服务包</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37673ECD645C42378B366C52D1E171A5</vt:lpwstr>
  </property>
</Properties>
</file>