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spacing w:val="4"/>
          <w:kern w:val="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spacing w:val="4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黑体" w:hAnsi="黑体" w:eastAsia="黑体" w:cs="黑体"/>
          <w:b w:val="0"/>
          <w:bCs/>
          <w:spacing w:val="4"/>
          <w:kern w:val="0"/>
          <w:sz w:val="32"/>
          <w:szCs w:val="32"/>
          <w:lang w:eastAsia="zh-CN" w:bidi="ar-SA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spacing w:val="4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rightChars="0"/>
        <w:jc w:val="center"/>
        <w:textAlignment w:val="auto"/>
        <w:rPr>
          <w:rFonts w:ascii="宋体" w:hAnsi="宋体" w:eastAsia="宋体" w:cs="宋体"/>
          <w:b/>
          <w:spacing w:val="4"/>
          <w:kern w:val="0"/>
          <w:sz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4"/>
          <w:kern w:val="0"/>
          <w:sz w:val="44"/>
          <w:lang w:val="en-US" w:eastAsia="zh-CN" w:bidi="ar-SA"/>
        </w:rPr>
        <w:t>重点人群、</w:t>
      </w:r>
      <w:r>
        <w:rPr>
          <w:rFonts w:ascii="宋体" w:hAnsi="宋体" w:eastAsia="宋体" w:cs="宋体"/>
          <w:b/>
          <w:spacing w:val="4"/>
          <w:kern w:val="0"/>
          <w:sz w:val="44"/>
          <w:lang w:val="en-US" w:eastAsia="zh-CN" w:bidi="ar-SA"/>
        </w:rPr>
        <w:t>重点机构、重点场所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rightChars="0"/>
        <w:jc w:val="center"/>
        <w:textAlignment w:val="auto"/>
        <w:rPr>
          <w:rFonts w:ascii="宋体" w:hAnsi="宋体" w:eastAsia="宋体" w:cs="宋体"/>
          <w:b/>
          <w:spacing w:val="4"/>
          <w:kern w:val="0"/>
          <w:sz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4"/>
          <w:kern w:val="0"/>
          <w:sz w:val="44"/>
          <w:lang w:val="en-US" w:eastAsia="zh-CN" w:bidi="ar-SA"/>
        </w:rPr>
        <w:t>新型冠状病毒感</w:t>
      </w:r>
      <w:bookmarkStart w:id="0" w:name="_GoBack"/>
      <w:bookmarkEnd w:id="0"/>
      <w:r>
        <w:rPr>
          <w:rFonts w:hint="eastAsia" w:ascii="宋体" w:hAnsi="宋体" w:eastAsia="宋体" w:cs="宋体"/>
          <w:b/>
          <w:spacing w:val="4"/>
          <w:kern w:val="0"/>
          <w:sz w:val="44"/>
          <w:lang w:val="en-US" w:eastAsia="zh-CN" w:bidi="ar-SA"/>
        </w:rPr>
        <w:t>染</w:t>
      </w:r>
      <w:r>
        <w:rPr>
          <w:rFonts w:hint="default" w:ascii="宋体" w:hAnsi="宋体" w:eastAsia="宋体" w:cs="宋体"/>
          <w:b/>
          <w:spacing w:val="4"/>
          <w:kern w:val="0"/>
          <w:sz w:val="44"/>
          <w:lang w:eastAsia="zh-CN" w:bidi="ar-SA"/>
        </w:rPr>
        <w:t>“乙类乙管”</w:t>
      </w:r>
      <w:r>
        <w:rPr>
          <w:rFonts w:hint="eastAsia" w:ascii="宋体" w:hAnsi="宋体" w:eastAsia="宋体" w:cs="宋体"/>
          <w:b/>
          <w:spacing w:val="4"/>
          <w:kern w:val="0"/>
          <w:sz w:val="44"/>
          <w:lang w:val="en-US" w:eastAsia="zh-CN" w:bidi="ar-SA"/>
        </w:rPr>
        <w:t>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rightChars="0" w:firstLine="640"/>
        <w:textAlignment w:val="auto"/>
        <w:rPr>
          <w:rFonts w:ascii="Times New Roman" w:hAnsi="Times New Roman" w:eastAsia="仿宋" w:cs="Times New Roman"/>
          <w:spacing w:val="4"/>
          <w:kern w:val="0"/>
          <w:sz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lang w:val="en-US" w:eastAsia="zh-CN" w:bidi="ar-SA"/>
        </w:rPr>
        <w:t>为指导各地做好重点人群、重点机构和重点场所防控工作，防范传染源引入后引起疫情传播和扩散，制定本指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lang w:eastAsia="zh-CN" w:bidi="ar-SA"/>
        </w:rPr>
        <w:t>引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56" w:firstLineChars="200"/>
        <w:textAlignment w:val="auto"/>
        <w:rPr>
          <w:rFonts w:hint="eastAsia" w:ascii="黑体" w:hAnsi="黑体" w:eastAsia="黑体" w:cs="Times New Roman"/>
          <w:b w:val="0"/>
          <w:bCs/>
          <w:spacing w:val="4"/>
          <w:kern w:val="0"/>
          <w:sz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spacing w:val="4"/>
          <w:kern w:val="0"/>
          <w:sz w:val="32"/>
          <w:lang w:val="en-US" w:eastAsia="zh-CN" w:bidi="ar-SA"/>
        </w:rPr>
        <w:t>一、重点人群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5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4"/>
          <w:kern w:val="0"/>
          <w:sz w:val="32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4"/>
          <w:kern w:val="0"/>
          <w:sz w:val="32"/>
          <w:szCs w:val="22"/>
          <w:lang w:val="en-US" w:eastAsia="zh-CN" w:bidi="ar-SA"/>
        </w:rPr>
        <w:t>（一）社区重点人群。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社区重点人群包括老年人、慢性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基础疾病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患者、孕妇、儿童和伤残人士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、智障人士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等人群。宣传和指导社区重点人群做好疫苗接种、个人防护和自我健康监测，疫情严重时，进一步减少外出。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1.推进3岁以上无接种禁忌症、符合接种条件的重点人群做好新冠病毒疫苗接种。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2.强化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“每个人都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是自己健康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第一责任人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”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意识，加强个人防护，科学佩戴口罩，做好手卫生；外出时与他人保持安全距离，不去人群密集、通风不良的场所，尽量减少参加聚会、聚餐等聚集性活动。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3.做好自我健康监测，如出现发热、干咳、乏力、咽痛等症状，及时进行检测，并密切监测健康状况；出现症状加重时，及时去医疗机构就诊。同住人员感染时，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其他人员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应做好个人防护，加强症状监测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、抗原或核酸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4.保持生活规律和充足睡眠，注意咳嗽礼仪；做好居室、工作场所等区域通风换气和清洁消毒，物品保持干净整洁，及时清理垃圾。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5.需长期服药的人员，不可擅自停药，做好个人防护后去附近的社区卫生服务机构取药，或经医生评估后开长期处方，减少就诊次数。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56" w:firstLineChars="200"/>
        <w:textAlignment w:val="auto"/>
        <w:rPr>
          <w:rFonts w:hint="eastAsia" w:ascii="楷体_GB2312" w:hAnsi="楷体_GB2312" w:eastAsia="楷体_GB2312" w:cs="楷体_GB2312"/>
          <w:spacing w:val="4"/>
          <w:kern w:val="0"/>
          <w:sz w:val="32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4"/>
          <w:kern w:val="0"/>
          <w:sz w:val="32"/>
          <w:szCs w:val="22"/>
          <w:lang w:val="en-US" w:eastAsia="zh-CN" w:bidi="ar-SA"/>
        </w:rPr>
        <w:t>（二）重点行业人员。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重点行业指维持社会基本运行的保障行业，包括公安、交通、物流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、寄递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、水电气暖保供等行业，以及大型企业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疫情流行前和流行期间按属地管理原则，可采取以下措施：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1.推动疫苗接种工作，对于无疫苗接种禁忌、符合接种条件的工作人员均需要完成新冠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病毒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疫苗加强接种。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2.建立关键岗位、关键程序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工作人员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轮岗备岗制度，疫情严重时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原则上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工作人员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“两点一线”，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并按照轮岗备岗机制安排预备队进驻轮换，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尽量减少疫情对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业正常运转的影响。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3.提高员工个人防护意识，倡导其当好自己健康第一责任人；督促员工做好自我健康监测，如出现发热、干咳、乏力、咽痛等症状及时报告单位，并开展抗原或核酸检测，阳性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原则上不提倡带病工作；如必须到岗，做好个人防护，减少与他人接触。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4.疫情流行严重时，需强化个人防护意识、加强工作环境通风和清洁消毒，采取错时上下班、减少人员聚集，减少线下会议频次、降低线下会议人数，取消堂食、错峰取餐等减少人群聚集的措施，压低流行强度。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56" w:firstLineChars="200"/>
        <w:textAlignment w:val="auto"/>
        <w:rPr>
          <w:rFonts w:hint="default" w:ascii="黑体" w:hAnsi="黑体" w:eastAsia="黑体" w:cs="Times New Roman"/>
          <w:spacing w:val="4"/>
          <w:kern w:val="0"/>
          <w:sz w:val="32"/>
          <w:lang w:val="en-US" w:eastAsia="zh-CN" w:bidi="ar-SA"/>
        </w:rPr>
      </w:pPr>
      <w:r>
        <w:rPr>
          <w:rFonts w:hint="eastAsia" w:ascii="黑体" w:hAnsi="黑体" w:eastAsia="黑体" w:cs="Times New Roman"/>
          <w:spacing w:val="4"/>
          <w:kern w:val="0"/>
          <w:sz w:val="32"/>
          <w:lang w:val="en-US" w:eastAsia="zh-CN" w:bidi="ar-SA"/>
        </w:rPr>
        <w:t>二、重点机构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（一）养老机构、社会福利机构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等重点机构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1.加强疫苗接种组织动员，提高机构内服务对象疫苗接种率。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机构内结合设施条件实行内部分区管理，设立闭环管理区、流动管理区和健康观察区（室），防止不同区域间交叉感染。医疗机构开展养老服务的，要将养老服务区域与医疗服务区域分区管理，做到物理隔离、独立设置。加强环境通风换气、内部清洁和消毒，不举办聚集性活动。所有物资无接触配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3.疫情流行期间，经属地联防联控机制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（领导小组、指挥部）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批准同意，可在加强进出人员健康监测基础上有序开放管理。探视及其他需要进入机构者，需提供48小时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核酸检测阴性证明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现场抗原检测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阴性结果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。疫情严重时，由当地党委政府或联防联控机制</w:t>
      </w:r>
      <w:r>
        <w:rPr>
          <w:rFonts w:hint="default" w:ascii="仿宋_GB2312" w:hAnsi="仿宋_GB2312" w:eastAsia="仿宋_GB2312" w:cs="仿宋_GB2312"/>
          <w:sz w:val="32"/>
        </w:rPr>
        <w:t>（领导小组、指挥部）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经科学评估适时采取封闭管理，并报上级主管部门，防范疫情引入和扩散风险。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4.做好健康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测和核酸检测。每日执行“零报告”制度。机构工作人员每周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2次全员核酸检测，被照护人员每周开展2次核酸或抗原检测，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机构工作人员与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被照护人员的检测隔日交替开展。开放管理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机构工作人员凭48小时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核酸检测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阴性证明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及当日抗原检测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阴性结果可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上岗，被照护人员每周开展2次核酸或抗原检测。如有阳性人员检出，立即在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人员上门评估指导下，“一院一策”确定转移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居住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、分级分类诊治及终末消毒方案，开展全员检测。建立完善感染者转运机制，明确机构就诊定点医院，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与其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救治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绿色通道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机制，对机构内感染人员第一时间转运和优先救治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以省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或设区的市级行政区域为单位，储备和组织养老机构应急支援队伍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行政区域为单位，设立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具备无障碍环境、照护服务能力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集中健康观察</w:t>
      </w:r>
      <w:r>
        <w:rPr>
          <w:rFonts w:hint="eastAsia" w:ascii="仿宋_GB2312" w:hAnsi="仿宋_GB2312" w:eastAsia="仿宋_GB2312" w:cs="仿宋_GB2312"/>
          <w:sz w:val="32"/>
          <w:szCs w:val="32"/>
        </w:rPr>
        <w:t>点并纳入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联防联控机制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（领导小组、指挥部）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保障范围，用于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不具备分区管理条件机构中阳性人员、新轮换人员的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健康观察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6.开放的社区养老机构，根据属地联防联控机制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（领导小组、指挥部）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统一部署，在社区党组织领导下，由社区卫生服务站牵头组成应对专班，参照养老机构疫情防控要求制定具体防控指引。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（二）医疗机构。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2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1.医务人员在岗期间要做好专业防护，引导患者和陪诊</w:t>
      </w:r>
      <w:r>
        <w:rPr>
          <w:rFonts w:ascii="仿宋_GB2312" w:hAnsi="仿宋_GB2312" w:eastAsia="仿宋_GB2312" w:cs="仿宋_GB2312"/>
          <w:spacing w:val="2"/>
          <w:sz w:val="32"/>
          <w:szCs w:val="22"/>
        </w:rPr>
        <w:t>人员就诊时规范佩戴口罩，保持安全距离，减少聚集。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2.加强发热门诊管理，严格预检分诊；科学设置预约号源，实行分时段精准预约；通过优化预约患者就诊流程，开通咨询平台等方式控制就诊人数，避免聚集。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3.对有症状的医务人员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和</w:t>
      </w:r>
      <w:r>
        <w:rPr>
          <w:rFonts w:hint="eastAsia" w:ascii="仿宋_GB2312" w:hAnsi="仿宋_GB2312" w:eastAsia="仿宋_GB2312" w:cs="仿宋_GB2312"/>
          <w:sz w:val="32"/>
        </w:rPr>
        <w:t>医疗机构收治的发热、呼吸道感染等症状的就诊患者及重症高风险住院患者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开展核酸或抗原检测。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4.强化机构内日常清洁消毒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和通风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，尤其是候诊室、卫生间、电梯间等重点区域和门把手、电梯按钮等重点部位的清洁和消毒。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（三）学校、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学前教育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1.加强学校、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学前教育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机构工作人员和学生个人防护。强化师生健康教育，开展症状监测，执行“日报告”、“零报告”制度，出现发热、干咳、乏力、咽痛等症状时，及时采取留观等相应措施，不得带病工作和学习。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2.加强教学区域、学生宿舍、公共卫生间等场所的通风换气和清洁消毒。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3.学校内发生疫情后，及时采取减少人际接触、强化个人防护、短期内实施中小学校线上教学、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学前教育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机构临时关停等措施。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（四）党政机关、企事业单位。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1.党政机关、企事业单位切实履行疫情防控主体责任，做好疫情流行期间疫情应对。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2.提升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工作人员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自我防护意识，做好办公室、食堂、卫生间等环境通风换气；加强工作人员症状监测，出现发热、干咳、乏力、咽痛等症状时及时进行抗原或核酸检测，阳性人员可居家办公；如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需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到岗，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做好个人防护，减少与他人接触。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3.疫情流行严重时，取消会议、培训等线下聚集性活动，必须举办时，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减少参会人数，做好个人防护；采取弹性工作制，错时上下班，必要时居家办公，控制在岗人员数量，不提供堂食等措施。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4.建立关键岗位、关键程序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工作人员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轮岗备岗制度，疫情严重时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原则上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工作人员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“两点一线”，尽量减少疫情对党政机关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企事业单位正常运转的影响。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56" w:firstLineChars="200"/>
        <w:textAlignment w:val="auto"/>
        <w:rPr>
          <w:rFonts w:hint="default" w:ascii="黑体" w:hAnsi="黑体" w:eastAsia="黑体" w:cs="Times New Roman"/>
          <w:spacing w:val="4"/>
          <w:kern w:val="0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spacing w:val="4"/>
          <w:kern w:val="0"/>
          <w:sz w:val="32"/>
          <w:lang w:val="en-US" w:eastAsia="zh-CN" w:bidi="ar-SA"/>
        </w:rPr>
        <w:t>三、重点场所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重点场所指人员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密集、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空间密闭，容易发生聚集性疫情的场所，包括场站码头、市场商超、展销场所、会议中心、体育场馆、文化场馆、娱乐休闲场所、洗浴场所、宗教活动场所、餐饮场所、交通运输工具等。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1.疫情流行期间，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要提升员工自我防护意识，做好办公室、食堂、卫生间等环境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清洁消毒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和通风换气；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实施错峰限流，保持安全距离，减少人员聚集；场所内工作人员开展健康监测，出现发热、干咳、乏力、咽痛等症状时，及时进行抗原或核酸检测，阳性</w:t>
      </w:r>
      <w:r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人员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原则上不带病上岗，如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需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到岗，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做好个人防护，减少与他人接触。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2.疫情严重时，短期内可采取以下减少人群聚集的措施：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（1）会议中心、体育场馆、文化场馆、市场商超、展销场所取消或推迟非必要的大型活动。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（2）商场和超市、银行、农贸（集贸）市场等营业场所停止促销等人员聚集活动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商场、银行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等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缩短营业时间。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（3）相对密闭的娱乐休闲场所、洗浴场所、宗教活动场所暂停营业或开放。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（4）场站码头、公园景区等较大空间和开放式公共场所，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须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加强客流引导，尽量分散不扎堆。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22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（5）餐饮场所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ar-SA"/>
        </w:rPr>
        <w:t>限制同餐人数，或取消堂食。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72987387"/>
    <w:rsid w:val="729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center" w:pos="4153"/>
        <w:tab w:val="right" w:pos="8306"/>
      </w:tabs>
      <w:snapToGrid/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2022-12-27T02:53:00Z</dcterms:created>
  <dc:creator>杨帆</dc:creator>
  <cp:lastModifiedBy>杨帆</cp:lastModifiedBy>
  <dcterms:modified xsi:type="dcterms:W3CDTF">2022-12-27T02:54:17Z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B159B0BFB6B4408A9DC71977C36AD85F</vt:lpwstr>
  </property>
</Properties>
</file>