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34" w:rightChars="73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34" w:rightChars="73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" w:eastAsia="zh-CN"/>
        </w:rPr>
        <w:t>新冠肺炎相关健康风险评估标准</w:t>
      </w:r>
    </w:p>
    <w:p>
      <w:pPr>
        <w:widowControl w:val="0"/>
        <w:spacing w:before="240" w:beforeLines="0" w:beforeAutospacing="0" w:after="60" w:afterLines="0" w:afterAutospacing="0"/>
        <w:jc w:val="center"/>
        <w:outlineLvl w:val="0"/>
        <w:rPr>
          <w:rFonts w:hint="eastAsia" w:ascii="DejaVu Sans" w:hAnsi="DejaVu Sans" w:eastAsia="仿宋_GB2312" w:cs="Times New Roman"/>
          <w:b/>
          <w:kern w:val="2"/>
          <w:sz w:val="32"/>
          <w:szCs w:val="24"/>
          <w:lang w:val="en" w:eastAsia="zh-CN" w:bidi="ar-S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632"/>
        <w:gridCol w:w="2632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" w:eastAsia="zh-CN"/>
              </w:rPr>
              <w:t>风险等级</w:t>
            </w:r>
          </w:p>
        </w:tc>
        <w:tc>
          <w:tcPr>
            <w:tcW w:w="799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" w:eastAsia="zh-CN"/>
              </w:rPr>
              <w:t>居民情况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绿色标识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低风险一般人群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1.年龄＜80岁；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2.无基础疾病。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1.年龄＜80岁；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2.基础疾病稳定；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3.全程接种疫苗。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黄色标识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  <w:highlight w:val="none"/>
                <w:vertAlign w:val="baseline"/>
                <w:lang w:val="en" w:eastAsia="zh-CN"/>
              </w:rPr>
              <w:t>中风险次重点人群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1.年龄＜</w:t>
            </w:r>
            <w:r>
              <w:rPr>
                <w:rFonts w:hint="default" w:ascii="仿宋_GB2312" w:hAnsi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2.基础疾病不稳定；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3.全程接种疫苗。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1.年龄</w:t>
            </w:r>
            <w:r>
              <w:rPr>
                <w:rFonts w:hint="default" w:ascii="仿宋_GB2312" w:hAnsi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-80岁；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2.基础疾病稳定；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3.未全程接种疫苗。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1.年龄＞80岁；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2.无基础疾病或基础疾病稳定；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3.全程接种疫苗。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红色标识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高风险重点人群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1.年龄＜</w:t>
            </w:r>
            <w:r>
              <w:rPr>
                <w:rFonts w:hint="default" w:ascii="仿宋_GB2312" w:hAnsi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2.基础疾病不稳定；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3.未全程接种疫苗。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1.年龄</w:t>
            </w:r>
            <w:r>
              <w:rPr>
                <w:rFonts w:hint="default" w:ascii="仿宋_GB2312" w:hAnsi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-80岁；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2.基础疾病不稳定；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3.无论是否全程接种疫苗。</w:t>
            </w:r>
          </w:p>
        </w:tc>
        <w:tc>
          <w:tcPr>
            <w:tcW w:w="2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1.年龄＞80岁；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2.基础疾病稳定或不稳定；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3.未全程接种疫苗。</w:t>
            </w:r>
          </w:p>
        </w:tc>
      </w:tr>
    </w:tbl>
    <w:p>
      <w:pPr>
        <w:snapToGrid w:val="0"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按照上述评估标准进行评估无法分级标识的，可采取下表评分方法进行补充评估，确定健康风险级别。</w:t>
      </w:r>
    </w:p>
    <w:tbl>
      <w:tblPr>
        <w:tblStyle w:val="8"/>
        <w:tblW w:w="0" w:type="auto"/>
        <w:tblInd w:w="-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3409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5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" w:eastAsia="zh-CN"/>
              </w:rPr>
              <w:t>评估内容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"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龄</w:t>
            </w:r>
          </w:p>
        </w:tc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＜</w:t>
            </w:r>
            <w:r>
              <w:rPr>
                <w:rFonts w:hint="default" w:ascii="仿宋_GB2312" w:hAnsi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岁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-80岁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31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＞80岁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31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基础疾病</w:t>
            </w:r>
          </w:p>
        </w:tc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无基础疾病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基础疾病稳定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基础疾病不稳定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31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疫苗接种</w:t>
            </w:r>
          </w:p>
        </w:tc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未接种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疫苗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31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未全程接种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疫苗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全程接种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疫苗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绿色标识（低风险一般人群）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5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黄色标识（中风险次重点人群）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5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" w:eastAsia="zh-CN"/>
              </w:rPr>
              <w:t>红色标识（高风险重点人群）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4-6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" w:eastAsia="zh-CN"/>
        </w:rPr>
      </w:pPr>
    </w:p>
    <w:p>
      <w:pPr>
        <w:widowControl w:val="0"/>
        <w:spacing w:line="600" w:lineRule="exact"/>
        <w:ind w:right="234" w:rightChars="73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adjustRightInd w:val="0"/>
        <w:snapToGrid w:val="0"/>
        <w:spacing w:line="360" w:lineRule="auto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Times New Roman" w:eastAsia="仿宋_GB2312" w:cs="Times New Roman"/>
          <w:kern w:val="2"/>
          <w:sz w:val="28"/>
          <w:szCs w:val="24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Times New Roman" w:eastAsia="仿宋_GB2312" w:cs="Times New Roman"/>
          <w:kern w:val="2"/>
          <w:sz w:val="28"/>
          <w:szCs w:val="24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Times New Roman" w:eastAsia="仿宋_GB2312" w:cs="Times New Roman"/>
          <w:kern w:val="2"/>
          <w:sz w:val="28"/>
          <w:szCs w:val="24"/>
          <w:lang w:val="en-US" w:eastAsia="zh-CN" w:bidi="ar-SA"/>
        </w:rPr>
      </w:pPr>
    </w:p>
    <w:p>
      <w:pPr>
        <w:widowControl w:val="0"/>
        <w:ind w:right="234" w:rightChars="73"/>
        <w:jc w:val="both"/>
        <w:rPr>
          <w:rFonts w:hint="eastAsia" w:ascii="仿宋_GB2312" w:hAnsi="Times New Roman" w:eastAsia="仿宋_GB2312" w:cs="Times New Roman"/>
          <w:kern w:val="2"/>
          <w:sz w:val="28"/>
          <w:szCs w:val="24"/>
          <w:lang w:val="en-US" w:eastAsia="zh-CN" w:bidi="ar-S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7015"/>
    <w:rsid w:val="B5BB2CE9"/>
    <w:rsid w:val="E3FA1EF3"/>
    <w:rsid w:val="F7FD70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100" w:afterAutospacing="1"/>
    </w:pPr>
    <w:rPr>
      <w:rFonts w:ascii="Cambria" w:hAnsi="Cambria" w:cs="宋体"/>
      <w:sz w:val="24"/>
      <w:szCs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6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32.3333333333333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2022-12-07T23:57:00Z</dcterms:created>
  <dc:creator>wangll</dc:creator>
  <cp:lastModifiedBy>wjw</cp:lastModifiedBy>
  <cp:lastPrinted>2022-12-08T00:00:33Z</cp:lastPrinted>
  <dcterms:modified xsi:type="dcterms:W3CDTF">2022-12-07T17:39:28Z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