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15"/>
          <w:tab w:val="left" w:pos="8364"/>
        </w:tabs>
        <w:spacing w:line="540" w:lineRule="exact"/>
        <w:ind w:right="57"/>
        <w:jc w:val="left"/>
        <w:rPr>
          <w:rFonts w:ascii="仿宋_GB2312" w:hAnsi="华文楷体" w:eastAsia="仿宋_GB2312"/>
          <w:sz w:val="32"/>
          <w:szCs w:val="32"/>
        </w:rPr>
      </w:pPr>
      <w:bookmarkStart w:id="0" w:name="BH"/>
    </w:p>
    <w:p>
      <w:pPr>
        <w:tabs>
          <w:tab w:val="left" w:pos="915"/>
          <w:tab w:val="left" w:pos="8364"/>
        </w:tabs>
        <w:spacing w:line="540" w:lineRule="exact"/>
        <w:ind w:right="57"/>
        <w:jc w:val="left"/>
        <w:rPr>
          <w:rFonts w:ascii="仿宋_GB2312" w:hAnsi="华文楷体" w:eastAsia="仿宋_GB2312"/>
          <w:sz w:val="32"/>
          <w:szCs w:val="32"/>
        </w:rPr>
      </w:pPr>
    </w:p>
    <w:p>
      <w:pPr>
        <w:spacing w:line="540" w:lineRule="exact"/>
        <w:jc w:val="left"/>
        <w:rPr>
          <w:rFonts w:ascii="方正小标宋简体" w:hAnsi="华文中宋" w:eastAsia="方正小标宋简体"/>
          <w:sz w:val="32"/>
          <w:szCs w:val="32"/>
        </w:rPr>
      </w:pPr>
    </w:p>
    <w:bookmarkEnd w:id="0"/>
    <w:p>
      <w:pPr>
        <w:spacing w:line="520" w:lineRule="exact"/>
        <w:jc w:val="right"/>
        <w:rPr>
          <w:rFonts w:eastAsia="方正仿宋_GBK"/>
          <w:sz w:val="32"/>
          <w:szCs w:val="32"/>
        </w:rPr>
      </w:pPr>
      <w:bookmarkStart w:id="1" w:name="_GoBack"/>
      <w:r>
        <w:rPr>
          <w:rFonts w:eastAsia="方正仿宋_GBK"/>
          <w:sz w:val="32"/>
          <w:szCs w:val="32"/>
        </w:rPr>
        <w:t>皖疫防办〔2022〕</w:t>
      </w:r>
      <w:r>
        <w:rPr>
          <w:rFonts w:hint="eastAsia" w:eastAsia="方正仿宋_GBK"/>
          <w:sz w:val="32"/>
          <w:szCs w:val="32"/>
          <w:lang w:val="en-US" w:eastAsia="zh-CN"/>
        </w:rPr>
        <w:t>827</w:t>
      </w:r>
      <w:r>
        <w:rPr>
          <w:rFonts w:eastAsia="方正仿宋_GBK"/>
          <w:sz w:val="32"/>
          <w:szCs w:val="32"/>
        </w:rPr>
        <w:t>号</w:t>
      </w:r>
    </w:p>
    <w:p>
      <w:pPr>
        <w:tabs>
          <w:tab w:val="left" w:pos="915"/>
          <w:tab w:val="left" w:pos="8364"/>
        </w:tabs>
        <w:wordWrap w:val="0"/>
        <w:spacing w:line="600" w:lineRule="exact"/>
        <w:ind w:right="57"/>
        <w:jc w:val="right"/>
        <w:rPr>
          <w:rFonts w:ascii="仿宋_GB2312" w:hAnsi="华文楷体" w:eastAsia="仿宋_GB2312"/>
          <w:sz w:val="32"/>
          <w:szCs w:val="32"/>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关于印发安徽省新冠病毒感染者</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分级分类诊疗工作实施方案和医疗救治</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相关工作要求的通知</w:t>
      </w:r>
    </w:p>
    <w:bookmarkEnd w:id="1"/>
    <w:p>
      <w:pPr>
        <w:spacing w:line="600" w:lineRule="exact"/>
      </w:pPr>
    </w:p>
    <w:p>
      <w:pPr>
        <w:spacing w:line="600" w:lineRule="exact"/>
        <w:rPr>
          <w:rFonts w:ascii="仿宋_GB2312" w:eastAsia="仿宋_GB2312"/>
          <w:sz w:val="32"/>
          <w:szCs w:val="32"/>
        </w:rPr>
      </w:pPr>
      <w:r>
        <w:rPr>
          <w:rFonts w:hint="eastAsia" w:ascii="仿宋_GB2312" w:eastAsia="仿宋_GB2312"/>
          <w:sz w:val="32"/>
          <w:szCs w:val="32"/>
        </w:rPr>
        <w:t>各市新冠肺炎疫情防控应急综合指挥部，省教育厅、省经信厅、省卫生健康委、省医保局、省药监局，省属医疗机构：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为贯彻落实国务院联防联控机制二十条优化措施和十条针对性措施，切实做好新冠病毒感染者医疗救治工作，保障人民群众生命安全和身体健康，根据《关于印发以医联体为载体做好新冠肺炎分级诊疗工作方案的通知》（联防联控机制综发〔2022〕116号）等文件精神，结合我省实际，制定《安徽省新冠病毒感染者分级分类诊疗工作实施方案》和《优化发热门诊设置与管理工作要求》《做好医疗资源准备工作方案》《优化就医流程做好当前医疗服务工作要求》《做好当前孕产妇和儿童健康管理与医疗服务保障工作要求》《新冠重点人群健康服务工作方案》《新冠病毒感染者居家治疗指南》等6个方面工作要求。现印发给你们，请结合实际认真贯彻落实。</w:t>
      </w:r>
    </w:p>
    <w:p>
      <w:pPr>
        <w:pStyle w:val="2"/>
        <w:ind w:firstLine="0"/>
        <w:rPr>
          <w:rFonts w:ascii="仿宋_GB2312" w:eastAsia="仿宋_GB2312"/>
        </w:rPr>
      </w:pPr>
    </w:p>
    <w:p>
      <w:pPr>
        <w:pStyle w:val="2"/>
        <w:ind w:firstLine="0"/>
        <w:rPr>
          <w:rFonts w:ascii="方正仿宋_GBK" w:eastAsia="方正仿宋_GBK"/>
          <w:sz w:val="32"/>
          <w:szCs w:val="32"/>
        </w:rPr>
      </w:pPr>
    </w:p>
    <w:p>
      <w:pPr>
        <w:pStyle w:val="2"/>
        <w:jc w:val="right"/>
        <w:rPr>
          <w:rFonts w:ascii="仿宋_GB2312" w:eastAsia="仿宋_GB2312"/>
          <w:sz w:val="32"/>
          <w:szCs w:val="32"/>
        </w:rPr>
      </w:pPr>
      <w:r>
        <w:rPr>
          <w:rFonts w:hint="eastAsia" w:ascii="仿宋_GB2312" w:eastAsia="仿宋_GB2312"/>
          <w:sz w:val="32"/>
          <w:szCs w:val="32"/>
        </w:rPr>
        <w:t>安徽省新冠肺炎疫情防控应急综合指挥部办公室</w:t>
      </w:r>
    </w:p>
    <w:p>
      <w:pPr>
        <w:pStyle w:val="2"/>
        <w:ind w:right="640" w:firstLine="4320" w:firstLineChars="1350"/>
        <w:rPr>
          <w:rFonts w:ascii="仿宋_GB2312" w:eastAsia="仿宋_GB2312"/>
          <w:sz w:val="32"/>
          <w:szCs w:val="32"/>
        </w:rPr>
      </w:pPr>
      <w:r>
        <w:rPr>
          <w:rFonts w:hint="eastAsia" w:ascii="仿宋_GB2312" w:eastAsia="仿宋_GB2312"/>
          <w:sz w:val="32"/>
          <w:szCs w:val="32"/>
        </w:rPr>
        <w:t>2022年12月</w:t>
      </w:r>
      <w:r>
        <w:rPr>
          <w:rFonts w:hint="eastAsia" w:ascii="仿宋_GB2312" w:eastAsia="仿宋_GB2312"/>
          <w:sz w:val="32"/>
          <w:szCs w:val="32"/>
          <w:lang w:val="en-US" w:eastAsia="zh-CN"/>
        </w:rPr>
        <w:t>11</w:t>
      </w:r>
      <w:r>
        <w:rPr>
          <w:rFonts w:hint="eastAsia" w:ascii="仿宋_GB2312" w:eastAsia="仿宋_GB2312"/>
          <w:sz w:val="32"/>
          <w:szCs w:val="32"/>
        </w:rPr>
        <w:t>日</w:t>
      </w:r>
    </w:p>
    <w:p>
      <w:pPr>
        <w:rPr>
          <w:rFonts w:ascii="仿宋_GB2312" w:hAnsi="仿宋_GB2312" w:eastAsia="仿宋_GB2312" w:cs="仿宋_GB2312"/>
          <w:sz w:val="32"/>
          <w:szCs w:val="32"/>
        </w:rPr>
      </w:pPr>
    </w:p>
    <w:p>
      <w:pPr>
        <w:pStyle w:val="2"/>
        <w:rPr>
          <w:rFonts w:ascii="仿宋_GB2312" w:eastAsia="仿宋_GB2312"/>
          <w:sz w:val="32"/>
        </w:rPr>
      </w:pPr>
      <w:r>
        <w:rPr>
          <w:rFonts w:hint="eastAsia" w:ascii="仿宋_GB2312" w:eastAsia="仿宋_GB2312"/>
          <w:sz w:val="32"/>
        </w:rPr>
        <w:t>（信息公开形式：主动公开）</w:t>
      </w: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r>
        <w:br w:type="page"/>
      </w:r>
    </w:p>
    <w:p>
      <w:pPr>
        <w:widowControl/>
        <w:spacing w:line="560" w:lineRule="exact"/>
        <w:jc w:val="center"/>
        <w:rPr>
          <w:rFonts w:ascii="仿宋_GB2312" w:hAnsi="方正小标宋简体" w:eastAsia="仿宋_GB2312" w:cs="方正小标宋简体"/>
          <w:kern w:val="0"/>
          <w:sz w:val="32"/>
          <w:szCs w:val="40"/>
          <w:lang w:bidi="ar"/>
        </w:rPr>
      </w:pPr>
    </w:p>
    <w:p>
      <w:pPr>
        <w:widowControl/>
        <w:spacing w:line="560" w:lineRule="exact"/>
        <w:jc w:val="center"/>
        <w:rPr>
          <w:rFonts w:ascii="方正小标宋简体" w:hAnsi="方正小标宋简体" w:eastAsia="方正小标宋简体" w:cs="方正小标宋简体"/>
          <w:kern w:val="0"/>
          <w:sz w:val="44"/>
          <w:szCs w:val="40"/>
          <w:lang w:bidi="ar"/>
        </w:rPr>
      </w:pPr>
      <w:r>
        <w:rPr>
          <w:rFonts w:hint="eastAsia" w:ascii="方正小标宋简体" w:hAnsi="方正小标宋简体" w:eastAsia="方正小标宋简体" w:cs="方正小标宋简体"/>
          <w:kern w:val="0"/>
          <w:sz w:val="44"/>
          <w:szCs w:val="40"/>
          <w:lang w:bidi="ar"/>
        </w:rPr>
        <w:t>安徽省新冠病毒感染者分级分类诊疗</w:t>
      </w:r>
    </w:p>
    <w:p>
      <w:pPr>
        <w:widowControl/>
        <w:spacing w:line="560" w:lineRule="exact"/>
        <w:jc w:val="center"/>
        <w:rPr>
          <w:rFonts w:ascii="方正小标宋简体" w:hAnsi="方正小标宋简体" w:eastAsia="方正小标宋简体" w:cs="方正小标宋简体"/>
          <w:kern w:val="0"/>
          <w:sz w:val="40"/>
          <w:szCs w:val="36"/>
          <w:lang w:bidi="ar"/>
        </w:rPr>
      </w:pPr>
      <w:r>
        <w:rPr>
          <w:rFonts w:hint="eastAsia" w:ascii="方正小标宋简体" w:hAnsi="方正小标宋简体" w:eastAsia="方正小标宋简体" w:cs="方正小标宋简体"/>
          <w:kern w:val="0"/>
          <w:sz w:val="44"/>
          <w:szCs w:val="40"/>
          <w:lang w:bidi="ar"/>
        </w:rPr>
        <w:t>工作实施方案</w:t>
      </w:r>
    </w:p>
    <w:p>
      <w:pPr>
        <w:tabs>
          <w:tab w:val="center" w:pos="4153"/>
          <w:tab w:val="right" w:pos="8306"/>
        </w:tabs>
        <w:snapToGrid w:val="0"/>
        <w:spacing w:line="560" w:lineRule="exact"/>
        <w:jc w:val="left"/>
        <w:rPr>
          <w:rFonts w:ascii="Calibri" w:hAnsi="Calibri"/>
          <w:sz w:val="18"/>
          <w:szCs w:val="18"/>
        </w:rPr>
      </w:pPr>
    </w:p>
    <w:p>
      <w:pPr>
        <w:widowControl/>
        <w:tabs>
          <w:tab w:val="left" w:pos="840"/>
        </w:tabs>
        <w:spacing w:line="560" w:lineRule="exact"/>
        <w:ind w:firstLine="640" w:firstLineChars="200"/>
        <w:rPr>
          <w:rFonts w:eastAsia="方正黑体_GBK"/>
          <w:kern w:val="0"/>
          <w:sz w:val="32"/>
          <w:szCs w:val="32"/>
          <w:lang w:bidi="ar"/>
        </w:rPr>
      </w:pPr>
      <w:r>
        <w:rPr>
          <w:rFonts w:eastAsia="仿宋_GB2312"/>
          <w:kern w:val="0"/>
          <w:sz w:val="32"/>
          <w:szCs w:val="32"/>
          <w:lang w:bidi="ar"/>
        </w:rPr>
        <w:t>为做好新冠病毒感染者诊疗工作，全力保障高龄合并基础疾病等重症风险较高的感染者及时得到救治，最大可能降低重症率、病亡率，保障正常医疗服务，构建更加科学有序的就医秩序，根据《关于印发以医联体为载体做好新冠肺炎分级诊疗工作方案的通知》（联防联控机制综发〔2022〕116号），结合我省实际，制定本实施方案。</w:t>
      </w:r>
    </w:p>
    <w:p>
      <w:pPr>
        <w:widowControl/>
        <w:tabs>
          <w:tab w:val="left" w:pos="840"/>
        </w:tabs>
        <w:spacing w:line="560" w:lineRule="exact"/>
        <w:ind w:firstLine="640" w:firstLineChars="200"/>
        <w:rPr>
          <w:rFonts w:eastAsia="仿宋_GB2312"/>
          <w:b/>
          <w:kern w:val="0"/>
          <w:sz w:val="32"/>
          <w:szCs w:val="32"/>
          <w:lang w:bidi="ar"/>
        </w:rPr>
      </w:pPr>
      <w:r>
        <w:rPr>
          <w:rFonts w:eastAsia="方正黑体_GBK"/>
          <w:kern w:val="0"/>
          <w:sz w:val="32"/>
          <w:szCs w:val="32"/>
          <w:lang w:bidi="ar"/>
        </w:rPr>
        <w:t>一、工作目标</w:t>
      </w:r>
    </w:p>
    <w:p>
      <w:pPr>
        <w:widowControl/>
        <w:tabs>
          <w:tab w:val="left" w:pos="840"/>
        </w:tabs>
        <w:spacing w:line="560" w:lineRule="exact"/>
        <w:ind w:firstLine="640" w:firstLineChars="200"/>
        <w:rPr>
          <w:rFonts w:eastAsia="仿宋_GB2312"/>
          <w:kern w:val="0"/>
          <w:sz w:val="32"/>
          <w:szCs w:val="32"/>
          <w:lang w:bidi="ar"/>
        </w:rPr>
      </w:pPr>
      <w:r>
        <w:rPr>
          <w:rFonts w:eastAsia="仿宋_GB2312"/>
          <w:kern w:val="0"/>
          <w:sz w:val="32"/>
          <w:szCs w:val="32"/>
          <w:lang w:bidi="ar"/>
        </w:rPr>
        <w:t>为适应疫情防控新形势和新冠病毒变异新特点，按照“健康监测、分类管理、上下联动、有效救治”的原则，科学统筹区域医疗资源，以网格化布局医联体为载体，完善方舱医院、亚（准）定点医院、定点医院、</w:t>
      </w:r>
      <w:r>
        <w:rPr>
          <w:rFonts w:eastAsia="仿宋_GB2312"/>
          <w:color w:val="000000"/>
          <w:spacing w:val="15"/>
          <w:sz w:val="32"/>
          <w:szCs w:val="32"/>
          <w:shd w:val="clear" w:color="auto" w:fill="FFFFFF"/>
        </w:rPr>
        <w:t>传染病专科医院、二级及以上综合医院</w:t>
      </w:r>
      <w:r>
        <w:rPr>
          <w:rFonts w:eastAsia="仿宋_GB2312"/>
          <w:kern w:val="0"/>
          <w:sz w:val="32"/>
          <w:szCs w:val="32"/>
          <w:lang w:bidi="ar"/>
        </w:rPr>
        <w:t>之间的转诊机制，提高医疗服务效率和连续性，最大程度保护人民生命安全和身体健康。</w:t>
      </w:r>
    </w:p>
    <w:p>
      <w:pPr>
        <w:widowControl/>
        <w:tabs>
          <w:tab w:val="left" w:pos="840"/>
        </w:tabs>
        <w:spacing w:line="560" w:lineRule="exact"/>
        <w:ind w:firstLine="640" w:firstLineChars="200"/>
        <w:rPr>
          <w:rFonts w:eastAsia="仿宋_GB2312"/>
          <w:b/>
          <w:kern w:val="0"/>
          <w:sz w:val="32"/>
          <w:szCs w:val="32"/>
          <w:lang w:bidi="ar"/>
        </w:rPr>
      </w:pPr>
      <w:r>
        <w:rPr>
          <w:rFonts w:eastAsia="方正黑体_GBK"/>
          <w:kern w:val="0"/>
          <w:sz w:val="32"/>
          <w:szCs w:val="32"/>
          <w:lang w:bidi="ar"/>
        </w:rPr>
        <w:t>二、工作内容</w:t>
      </w:r>
    </w:p>
    <w:p>
      <w:pPr>
        <w:widowControl/>
        <w:tabs>
          <w:tab w:val="left" w:pos="840"/>
        </w:tabs>
        <w:spacing w:line="560" w:lineRule="exact"/>
        <w:ind w:firstLine="643" w:firstLineChars="200"/>
        <w:rPr>
          <w:rFonts w:eastAsia="仿宋_GB2312"/>
          <w:kern w:val="0"/>
          <w:sz w:val="32"/>
          <w:szCs w:val="32"/>
          <w:lang w:bidi="ar"/>
        </w:rPr>
      </w:pPr>
      <w:r>
        <w:rPr>
          <w:rFonts w:ascii="楷体_GB2312" w:eastAsia="楷体_GB2312"/>
          <w:b/>
          <w:kern w:val="0"/>
          <w:sz w:val="32"/>
          <w:szCs w:val="32"/>
          <w:lang w:bidi="ar"/>
        </w:rPr>
        <w:t>（一）构建新冠病毒感染者分级诊疗服务网络。</w:t>
      </w:r>
      <w:r>
        <w:rPr>
          <w:rFonts w:eastAsia="仿宋_GB2312"/>
          <w:bCs/>
          <w:kern w:val="0"/>
          <w:sz w:val="32"/>
          <w:szCs w:val="32"/>
          <w:lang w:bidi="ar"/>
        </w:rPr>
        <w:t>依托医联体（包括城市医联体、县域医共体，下同），统筹现有医疗资源，以市、县</w:t>
      </w:r>
      <w:r>
        <w:rPr>
          <w:rFonts w:eastAsia="仿宋_GB2312"/>
          <w:kern w:val="0"/>
          <w:sz w:val="32"/>
          <w:szCs w:val="32"/>
          <w:lang w:bidi="ar"/>
        </w:rPr>
        <w:t>为单位，按照分区包片原则，将辖区内所有居民纳入管理。明确省、市三级医院作为医联体外部协作医院，建立对应转诊关系，畅通双向转诊机制，实现发热等新冠病毒感染者相关症状患者的基层首诊、有序转诊。</w:t>
      </w:r>
    </w:p>
    <w:p>
      <w:pPr>
        <w:widowControl/>
        <w:tabs>
          <w:tab w:val="left" w:pos="840"/>
        </w:tabs>
        <w:spacing w:line="560" w:lineRule="exact"/>
        <w:ind w:firstLine="643" w:firstLineChars="200"/>
        <w:rPr>
          <w:rFonts w:ascii="楷体_GB2312" w:eastAsia="楷体_GB2312"/>
          <w:b/>
          <w:kern w:val="0"/>
          <w:sz w:val="32"/>
          <w:szCs w:val="32"/>
          <w:lang w:bidi="ar"/>
        </w:rPr>
      </w:pPr>
      <w:r>
        <w:rPr>
          <w:rFonts w:ascii="楷体_GB2312" w:eastAsia="楷体_GB2312"/>
          <w:b/>
          <w:kern w:val="0"/>
          <w:sz w:val="32"/>
          <w:szCs w:val="32"/>
          <w:lang w:bidi="ar"/>
        </w:rPr>
        <w:t>（二）明确分级诊疗流程。</w:t>
      </w:r>
    </w:p>
    <w:p>
      <w:pPr>
        <w:widowControl/>
        <w:tabs>
          <w:tab w:val="left" w:pos="840"/>
        </w:tabs>
        <w:spacing w:line="560" w:lineRule="exact"/>
        <w:ind w:firstLine="643" w:firstLineChars="200"/>
        <w:rPr>
          <w:rFonts w:eastAsia="仿宋_GB2312"/>
          <w:kern w:val="0"/>
          <w:sz w:val="32"/>
          <w:szCs w:val="32"/>
          <w:lang w:bidi="ar"/>
        </w:rPr>
      </w:pPr>
      <w:r>
        <w:rPr>
          <w:rFonts w:eastAsia="仿宋_GB2312"/>
          <w:b/>
          <w:kern w:val="0"/>
          <w:sz w:val="32"/>
          <w:szCs w:val="32"/>
          <w:lang w:bidi="ar"/>
        </w:rPr>
        <w:t>1.以家庭医生签约服务为重点引导患者基层首诊。</w:t>
      </w:r>
      <w:r>
        <w:rPr>
          <w:rFonts w:eastAsia="仿宋_GB2312"/>
          <w:kern w:val="0"/>
          <w:sz w:val="32"/>
          <w:szCs w:val="32"/>
          <w:lang w:bidi="ar"/>
        </w:rPr>
        <w:t>社区卫生服务中心、乡镇卫生院要对辖区内老年人合并基础疾病等特殊人员实施健康监测，提前摸清底数，根据健康风险等级实施分级健康管理（见附件），以绿（低风险一般人群）、黄（中风险次重点人群）、红（高风险重点人群）进行分级标识，对黄色、红色标识人员进行专案管理。各市、县卫生健康行政部门指定具体医疗机构对口负责养老院、福利院等老幼人群的健康监测，确保高风险人群健康监测全覆盖。要提升家庭医生签约服务覆盖率，对辖区内0-6岁儿童、孕产妇、65岁以上老年人、免疫功能缺陷、血液透析、肿瘤放化疗、基础性疾病患者等重点人群建立台账。通过一封信、告知书、设置热线电话以及新媒体网络等方式，将基层医疗卫生机构或医务人员的联系方式通知到每一个重点人群，确保在必要时能够及时顺畅取得联系。发现患有新冠病毒感染相关症状时，家庭医生指导其到社区卫生服务中心、乡镇卫生院发热诊室（门诊）就诊；若患者病情超出基层医疗卫生机构诊疗能力，根据病情由医联体牵头医院负责转诊治疗。基层医疗卫生机构、医联体牵头医院要明确专人负责转诊协调安排工作。</w:t>
      </w:r>
    </w:p>
    <w:p>
      <w:pPr>
        <w:widowControl/>
        <w:tabs>
          <w:tab w:val="left" w:pos="840"/>
        </w:tabs>
        <w:spacing w:line="560" w:lineRule="exact"/>
        <w:ind w:firstLine="643" w:firstLineChars="200"/>
        <w:rPr>
          <w:rFonts w:eastAsia="仿宋_GB2312"/>
          <w:b/>
          <w:kern w:val="0"/>
          <w:sz w:val="32"/>
          <w:szCs w:val="32"/>
          <w:lang w:bidi="ar"/>
        </w:rPr>
      </w:pPr>
      <w:r>
        <w:rPr>
          <w:rFonts w:eastAsia="仿宋_GB2312"/>
          <w:b/>
          <w:kern w:val="0"/>
          <w:sz w:val="32"/>
          <w:szCs w:val="32"/>
          <w:lang w:bidi="ar"/>
        </w:rPr>
        <w:t>2.新冠病毒感染者分级分类就诊转诊安排。</w:t>
      </w:r>
      <w:r>
        <w:rPr>
          <w:rFonts w:eastAsia="仿宋_GB2312"/>
          <w:color w:val="000000"/>
          <w:spacing w:val="15"/>
          <w:sz w:val="32"/>
          <w:szCs w:val="32"/>
          <w:shd w:val="clear" w:color="auto" w:fill="FFFFFF"/>
        </w:rPr>
        <w:t>依托“1+5+N”重大疫情救治体系组织开展全省新冠肺炎确诊病例救治工作。省公共卫生临床中心负责全省救治工作指导；5个重症救治基地医院分片负责重症救治支持，接收急危重症患者转院救治；</w:t>
      </w:r>
      <w:r>
        <w:rPr>
          <w:rFonts w:eastAsia="仿宋_GB2312"/>
          <w:color w:val="000000"/>
          <w:spacing w:val="15"/>
          <w:sz w:val="32"/>
          <w:szCs w:val="32"/>
          <w:shd w:val="clear" w:color="auto" w:fill="FFFFFF"/>
          <w:lang w:eastAsia="zh-Hans"/>
        </w:rPr>
        <w:t>各市</w:t>
      </w:r>
      <w:r>
        <w:rPr>
          <w:rFonts w:eastAsia="仿宋_GB2312"/>
          <w:color w:val="000000"/>
          <w:spacing w:val="15"/>
          <w:sz w:val="32"/>
          <w:szCs w:val="32"/>
          <w:shd w:val="clear" w:color="auto" w:fill="FFFFFF"/>
        </w:rPr>
        <w:t>、县级方舱医院、亚（准）定点医院、定点医院、传染病专科医院、二级及以上综合医院独立院区（楼栋）分级分类收治新冠病毒感染者。因其他疾病就诊合并新冠病毒感染的患者，由相应接诊医疗机构收治。</w:t>
      </w:r>
      <w:r>
        <w:rPr>
          <w:rFonts w:eastAsia="仿宋_GB2312"/>
          <w:kern w:val="0"/>
          <w:sz w:val="32"/>
          <w:szCs w:val="32"/>
          <w:lang w:bidi="ar"/>
        </w:rPr>
        <w:t>医疗机构要严格落实首诊负责制和急危重症抢救制度，不得以任何理由推诿或拒绝新冠病毒感染者就诊。</w:t>
      </w:r>
    </w:p>
    <w:p>
      <w:pPr>
        <w:widowControl/>
        <w:tabs>
          <w:tab w:val="left" w:pos="840"/>
        </w:tabs>
        <w:spacing w:line="560" w:lineRule="exact"/>
        <w:ind w:firstLine="640" w:firstLineChars="200"/>
        <w:rPr>
          <w:rFonts w:eastAsia="仿宋_GB2312"/>
          <w:kern w:val="0"/>
          <w:sz w:val="32"/>
          <w:szCs w:val="32"/>
          <w:lang w:bidi="ar"/>
        </w:rPr>
      </w:pPr>
      <w:r>
        <w:rPr>
          <w:rFonts w:eastAsia="仿宋_GB2312"/>
          <w:kern w:val="0"/>
          <w:sz w:val="32"/>
          <w:szCs w:val="32"/>
          <w:lang w:bidi="ar"/>
        </w:rPr>
        <w:t>基层医疗卫生机构要及时指导出现新冠病毒感染相关症状的重点人群进行抗原检测，抗原检测阳性的，及时按照以下分级原则进行管理和转诊：</w:t>
      </w:r>
    </w:p>
    <w:p>
      <w:pPr>
        <w:widowControl/>
        <w:tabs>
          <w:tab w:val="left" w:pos="840"/>
        </w:tabs>
        <w:spacing w:line="560" w:lineRule="exact"/>
        <w:ind w:firstLine="640" w:firstLineChars="200"/>
        <w:rPr>
          <w:rFonts w:eastAsia="仿宋_GB2312"/>
          <w:color w:val="000000"/>
          <w:spacing w:val="15"/>
          <w:sz w:val="32"/>
          <w:szCs w:val="32"/>
          <w:shd w:val="clear" w:color="auto" w:fill="FFFFFF"/>
        </w:rPr>
      </w:pPr>
      <w:r>
        <w:rPr>
          <w:rFonts w:eastAsia="仿宋_GB2312"/>
          <w:kern w:val="0"/>
          <w:sz w:val="32"/>
          <w:szCs w:val="32"/>
          <w:lang w:bidi="ar"/>
        </w:rPr>
        <w:t>（1）未合并严重基础疾病的无症状感染者、轻型病例，采取居家隔离，依托社区卫生服务中心和乡镇卫生院，由</w:t>
      </w:r>
      <w:r>
        <w:rPr>
          <w:rFonts w:eastAsia="仿宋_GB2312"/>
          <w:color w:val="000000"/>
          <w:spacing w:val="15"/>
          <w:sz w:val="32"/>
          <w:szCs w:val="32"/>
          <w:shd w:val="clear" w:color="auto" w:fill="FFFFFF"/>
        </w:rPr>
        <w:t>家庭医生签约团队根据《新冠病毒感染者居家治疗指南》及相关工作方案，指导做好健康监测和用药指导，做到“咨询有人答、诉求有人应、转诊有人管”。</w:t>
      </w:r>
      <w:r>
        <w:rPr>
          <w:rFonts w:eastAsia="仿宋_GB2312"/>
          <w:kern w:val="0"/>
          <w:sz w:val="32"/>
          <w:szCs w:val="32"/>
          <w:lang w:bidi="ar"/>
        </w:rPr>
        <w:t>高龄行动不便的，在病情允许情况下，原则居家或在养老机构就地治疗，医务人员提供上门服务，不转出集中救治。不具备居家隔离条件的，</w:t>
      </w:r>
      <w:r>
        <w:rPr>
          <w:rFonts w:eastAsia="仿宋_GB2312"/>
          <w:color w:val="000000"/>
          <w:spacing w:val="15"/>
          <w:sz w:val="32"/>
          <w:szCs w:val="32"/>
          <w:shd w:val="clear" w:color="auto" w:fill="FFFFFF"/>
        </w:rPr>
        <w:t>也可自愿选择到方舱医院集中隔离。</w:t>
      </w:r>
    </w:p>
    <w:p>
      <w:pPr>
        <w:widowControl/>
        <w:tabs>
          <w:tab w:val="left" w:pos="840"/>
        </w:tabs>
        <w:spacing w:line="560" w:lineRule="exact"/>
        <w:ind w:firstLine="640" w:firstLineChars="200"/>
        <w:rPr>
          <w:rFonts w:eastAsia="仿宋_GB2312"/>
          <w:kern w:val="0"/>
          <w:sz w:val="32"/>
          <w:szCs w:val="32"/>
          <w:lang w:bidi="ar"/>
        </w:rPr>
      </w:pPr>
      <w:r>
        <w:rPr>
          <w:rFonts w:eastAsia="仿宋_GB2312"/>
          <w:kern w:val="0"/>
          <w:sz w:val="32"/>
          <w:szCs w:val="32"/>
          <w:lang w:bidi="ar"/>
        </w:rPr>
        <w:t>（2）普通型病例，以及高龄合并严重基础疾病（心脏病、肿瘤等）但病情稳定的无症状感染者和轻型病例，转诊至亚（准）定点医院</w:t>
      </w:r>
      <w:r>
        <w:rPr>
          <w:rFonts w:hint="eastAsia" w:eastAsia="仿宋_GB2312"/>
          <w:kern w:val="0"/>
          <w:sz w:val="32"/>
          <w:szCs w:val="32"/>
          <w:lang w:bidi="ar"/>
        </w:rPr>
        <w:t>、二级及以上综合医院（中医院）独立院区（楼栋）</w:t>
      </w:r>
      <w:r>
        <w:rPr>
          <w:rFonts w:eastAsia="仿宋_GB2312"/>
          <w:kern w:val="0"/>
          <w:sz w:val="32"/>
          <w:szCs w:val="32"/>
          <w:lang w:bidi="ar"/>
        </w:rPr>
        <w:t>治疗。</w:t>
      </w:r>
    </w:p>
    <w:p>
      <w:pPr>
        <w:widowControl/>
        <w:tabs>
          <w:tab w:val="left" w:pos="840"/>
        </w:tabs>
        <w:spacing w:line="560" w:lineRule="exact"/>
        <w:ind w:firstLine="640" w:firstLineChars="200"/>
        <w:rPr>
          <w:rFonts w:eastAsia="仿宋_GB2312"/>
          <w:kern w:val="0"/>
          <w:sz w:val="32"/>
          <w:szCs w:val="32"/>
          <w:lang w:bidi="ar"/>
        </w:rPr>
      </w:pPr>
      <w:r>
        <w:rPr>
          <w:rFonts w:eastAsia="仿宋_GB2312"/>
          <w:kern w:val="0"/>
          <w:sz w:val="32"/>
          <w:szCs w:val="32"/>
          <w:lang w:bidi="ar"/>
        </w:rPr>
        <w:t>（3）以新冠肺炎为主要表现的重型、危重型病例和需要进行血液透析的病例，转诊至定点医院</w:t>
      </w:r>
      <w:r>
        <w:rPr>
          <w:rFonts w:hint="eastAsia" w:eastAsia="仿宋_GB2312"/>
          <w:kern w:val="0"/>
          <w:sz w:val="32"/>
          <w:szCs w:val="32"/>
          <w:lang w:bidi="ar"/>
        </w:rPr>
        <w:t>、三级综合医院独立院区（楼栋）</w:t>
      </w:r>
      <w:r>
        <w:rPr>
          <w:rFonts w:eastAsia="仿宋_GB2312"/>
          <w:kern w:val="0"/>
          <w:sz w:val="32"/>
          <w:szCs w:val="32"/>
          <w:lang w:bidi="ar"/>
        </w:rPr>
        <w:t>集中治疗，其中危重型病例收治于ICU病房，重型病例收治于亚ICU病房，需要血液透析的病例收治于普通病房。</w:t>
      </w:r>
    </w:p>
    <w:p>
      <w:pPr>
        <w:widowControl/>
        <w:tabs>
          <w:tab w:val="left" w:pos="840"/>
        </w:tabs>
        <w:spacing w:line="560" w:lineRule="exact"/>
        <w:ind w:firstLine="640" w:firstLineChars="200"/>
        <w:rPr>
          <w:rFonts w:ascii="仿宋_GB2312" w:eastAsia="仿宋_GB2312"/>
          <w:kern w:val="0"/>
          <w:sz w:val="32"/>
          <w:szCs w:val="32"/>
          <w:lang w:bidi="ar"/>
        </w:rPr>
      </w:pPr>
      <w:r>
        <w:rPr>
          <w:rFonts w:hint="eastAsia" w:ascii="仿宋_GB2312" w:eastAsia="仿宋_GB2312"/>
          <w:kern w:val="0"/>
          <w:sz w:val="32"/>
          <w:szCs w:val="32"/>
          <w:lang w:bidi="ar"/>
        </w:rPr>
        <w:t>（4）以基础疾病为主的重型、危重型病例，以及基础疾病超出基层医疗卫生机构、亚（准）定点医院医疗救治能力的，转至三级综合医院治疗。</w:t>
      </w:r>
    </w:p>
    <w:p>
      <w:pPr>
        <w:widowControl/>
        <w:tabs>
          <w:tab w:val="left" w:pos="840"/>
        </w:tabs>
        <w:spacing w:line="560" w:lineRule="exact"/>
        <w:ind w:firstLine="640" w:firstLineChars="200"/>
        <w:rPr>
          <w:rFonts w:ascii="仿宋_GB2312" w:eastAsia="仿宋_GB2312"/>
          <w:kern w:val="0"/>
          <w:sz w:val="32"/>
          <w:szCs w:val="32"/>
          <w:lang w:bidi="ar"/>
        </w:rPr>
      </w:pPr>
      <w:r>
        <w:rPr>
          <w:rFonts w:hint="eastAsia" w:ascii="仿宋_GB2312" w:eastAsia="仿宋_GB2312"/>
          <w:kern w:val="0"/>
          <w:sz w:val="32"/>
          <w:szCs w:val="32"/>
          <w:lang w:bidi="ar"/>
        </w:rPr>
        <w:t>（5）各县（市）至少要有一所综合医院（中医院）设置独立院区（楼栋）、市级综合医院（中医院）均要设置独立院区（楼栋），用于收治需要住院的确诊病例。</w:t>
      </w:r>
    </w:p>
    <w:p>
      <w:pPr>
        <w:widowControl/>
        <w:tabs>
          <w:tab w:val="left" w:pos="840"/>
        </w:tabs>
        <w:spacing w:line="560" w:lineRule="exact"/>
        <w:ind w:firstLine="643" w:firstLineChars="200"/>
        <w:rPr>
          <w:rFonts w:ascii="楷体_GB2312" w:eastAsia="楷体_GB2312"/>
          <w:b/>
          <w:kern w:val="0"/>
          <w:sz w:val="32"/>
          <w:szCs w:val="32"/>
          <w:lang w:bidi="ar"/>
        </w:rPr>
      </w:pPr>
      <w:r>
        <w:rPr>
          <w:rFonts w:ascii="楷体_GB2312" w:eastAsia="楷体_GB2312"/>
          <w:b/>
          <w:kern w:val="0"/>
          <w:sz w:val="32"/>
          <w:szCs w:val="32"/>
          <w:lang w:bidi="ar"/>
        </w:rPr>
        <w:t>（三）提高新冠病毒感染者处置能力。</w:t>
      </w:r>
    </w:p>
    <w:p>
      <w:pPr>
        <w:widowControl/>
        <w:tabs>
          <w:tab w:val="left" w:pos="840"/>
        </w:tabs>
        <w:spacing w:line="560" w:lineRule="exact"/>
        <w:ind w:firstLine="643" w:firstLineChars="200"/>
        <w:rPr>
          <w:rFonts w:eastAsia="仿宋_GB2312"/>
          <w:kern w:val="0"/>
          <w:sz w:val="32"/>
          <w:szCs w:val="32"/>
          <w:lang w:bidi="ar"/>
        </w:rPr>
      </w:pPr>
      <w:r>
        <w:rPr>
          <w:rFonts w:eastAsia="仿宋_GB2312"/>
          <w:b/>
          <w:kern w:val="0"/>
          <w:sz w:val="32"/>
          <w:szCs w:val="32"/>
          <w:lang w:bidi="ar"/>
        </w:rPr>
        <w:t>1.提高基层医疗卫生机构服务能力。</w:t>
      </w:r>
      <w:r>
        <w:rPr>
          <w:rFonts w:eastAsia="仿宋_GB2312"/>
          <w:kern w:val="0"/>
          <w:sz w:val="32"/>
          <w:szCs w:val="32"/>
          <w:lang w:bidi="ar"/>
        </w:rPr>
        <w:t>具备条件的社区卫生服务中心或乡镇卫生院均要设置发热诊室（门诊），发热诊室要有具备执业医师资格人员，完善消毒、检查检验、应急抢救等相应设备和药品配置，具备预检、分诊、筛查功能。多渠道扩充基层医疗卫生人员队伍，吸引医疗机构已退休医务人员到基层医疗卫生机构执业。发挥医联体内二级以上医院的支撑作用，向社区卫生服务中心、乡镇卫生院派出呼吸、感染、中医等相关专业医师和院感管理人员，驻点出诊、指导。未加入医联体的，由辖区县级卫生健康行政部门指定二级及以上医疗机构选派相关人员驻点服务。同时，通过远程医疗等方式提高基层医生对高风险人群的识别、诊断和处置能力。各地要对照第九版诊疗方案，按照服务人口的15-20%配齐配足中药和抗原检测试剂盒。通过组建巡诊小分队等形式，指导老年人合并基础疾病等特殊人员以及居家隔离人员做好自我健康监测、抗原自测和异常报告，上门为抗原异常者采集核酸，对需要就医的协助联系转诊。</w:t>
      </w:r>
    </w:p>
    <w:p>
      <w:pPr>
        <w:widowControl/>
        <w:tabs>
          <w:tab w:val="left" w:pos="840"/>
        </w:tabs>
        <w:spacing w:line="560" w:lineRule="exact"/>
        <w:ind w:firstLine="643" w:firstLineChars="200"/>
        <w:rPr>
          <w:rFonts w:eastAsia="仿宋_GB2312"/>
          <w:kern w:val="0"/>
          <w:sz w:val="32"/>
          <w:szCs w:val="32"/>
          <w:lang w:bidi="ar"/>
        </w:rPr>
      </w:pPr>
      <w:r>
        <w:rPr>
          <w:rFonts w:eastAsia="仿宋_GB2312"/>
          <w:b/>
          <w:kern w:val="0"/>
          <w:sz w:val="32"/>
          <w:szCs w:val="32"/>
          <w:lang w:bidi="ar"/>
        </w:rPr>
        <w:t>2.提高新冠肺炎患者重症救治能力。</w:t>
      </w:r>
      <w:r>
        <w:rPr>
          <w:rFonts w:eastAsia="仿宋_GB2312"/>
          <w:kern w:val="0"/>
          <w:sz w:val="32"/>
          <w:szCs w:val="32"/>
          <w:lang w:bidi="ar"/>
        </w:rPr>
        <w:t>加快推进定点医院、二级及以上综合医院、三级专科医院的ICU病房、可转换ICU床位建设，1张ICU床位配备1名医师和2.5-3名护士作为一线医护人员，并按照一线医护人员总数的20-30%储备后备力量。建立由重症医学专业医护人员和其他专科经培训医护人员组成的混合编组工作模式。加强医生和专科护士培训，提高有关医护人员重症救治能力。</w:t>
      </w:r>
    </w:p>
    <w:p>
      <w:pPr>
        <w:widowControl/>
        <w:tabs>
          <w:tab w:val="left" w:pos="840"/>
        </w:tabs>
        <w:spacing w:line="560" w:lineRule="exact"/>
        <w:ind w:firstLine="643" w:firstLineChars="200"/>
        <w:rPr>
          <w:rFonts w:eastAsia="仿宋_GB2312"/>
          <w:kern w:val="0"/>
          <w:sz w:val="32"/>
          <w:szCs w:val="32"/>
          <w:lang w:bidi="ar"/>
        </w:rPr>
      </w:pPr>
      <w:r>
        <w:rPr>
          <w:rFonts w:ascii="楷体_GB2312" w:eastAsia="楷体_GB2312"/>
          <w:b/>
          <w:kern w:val="0"/>
          <w:sz w:val="32"/>
          <w:szCs w:val="32"/>
          <w:lang w:bidi="ar"/>
        </w:rPr>
        <w:t>（四）做好转运车辆配置和调度。</w:t>
      </w:r>
      <w:r>
        <w:rPr>
          <w:rFonts w:eastAsia="仿宋_GB2312"/>
          <w:kern w:val="0"/>
          <w:sz w:val="32"/>
          <w:szCs w:val="32"/>
          <w:lang w:bidi="ar"/>
        </w:rPr>
        <w:t>各市、县应当以网格化布局医联体为单位，按网格人口和医疗资源配置情况，科学配置转运车辆。加强市、县统筹调度，保障网格内新冠肺炎高风险人群及时转运。</w:t>
      </w:r>
    </w:p>
    <w:p>
      <w:pPr>
        <w:widowControl/>
        <w:tabs>
          <w:tab w:val="left" w:pos="840"/>
        </w:tabs>
        <w:spacing w:line="560" w:lineRule="exact"/>
        <w:ind w:firstLine="643" w:firstLineChars="200"/>
        <w:rPr>
          <w:rFonts w:eastAsia="仿宋_GB2312"/>
          <w:kern w:val="0"/>
          <w:sz w:val="32"/>
          <w:szCs w:val="32"/>
          <w:lang w:bidi="ar"/>
        </w:rPr>
      </w:pPr>
      <w:r>
        <w:rPr>
          <w:rFonts w:ascii="楷体_GB2312" w:eastAsia="楷体_GB2312"/>
          <w:b/>
          <w:kern w:val="0"/>
          <w:sz w:val="32"/>
          <w:szCs w:val="32"/>
          <w:lang w:bidi="ar"/>
        </w:rPr>
        <w:t>（五）做好患者会诊及转诊衔接工作。</w:t>
      </w:r>
      <w:r>
        <w:rPr>
          <w:rFonts w:eastAsia="仿宋_GB2312"/>
          <w:color w:val="000000"/>
          <w:spacing w:val="15"/>
          <w:sz w:val="32"/>
          <w:szCs w:val="32"/>
          <w:shd w:val="clear" w:color="auto" w:fill="FFFFFF"/>
          <w:lang w:eastAsia="zh-Hans"/>
        </w:rPr>
        <w:t>县</w:t>
      </w:r>
      <w:r>
        <w:rPr>
          <w:rFonts w:eastAsia="仿宋_GB2312"/>
          <w:color w:val="000000"/>
          <w:spacing w:val="15"/>
          <w:sz w:val="32"/>
          <w:szCs w:val="32"/>
          <w:shd w:val="clear" w:color="auto" w:fill="FFFFFF"/>
        </w:rPr>
        <w:t>级</w:t>
      </w:r>
      <w:r>
        <w:rPr>
          <w:rFonts w:eastAsia="仿宋_GB2312"/>
          <w:color w:val="000000"/>
          <w:spacing w:val="15"/>
          <w:sz w:val="32"/>
          <w:szCs w:val="32"/>
          <w:shd w:val="clear" w:color="auto" w:fill="FFFFFF"/>
          <w:lang w:eastAsia="zh-Hans"/>
        </w:rPr>
        <w:t>救治医院发现</w:t>
      </w:r>
      <w:r>
        <w:rPr>
          <w:rFonts w:eastAsia="仿宋_GB2312"/>
          <w:color w:val="000000"/>
          <w:spacing w:val="15"/>
          <w:sz w:val="32"/>
          <w:szCs w:val="32"/>
          <w:shd w:val="clear" w:color="auto" w:fill="FFFFFF"/>
        </w:rPr>
        <w:t>普通型病例</w:t>
      </w:r>
      <w:r>
        <w:rPr>
          <w:rFonts w:eastAsia="仿宋_GB2312"/>
          <w:color w:val="000000"/>
          <w:spacing w:val="15"/>
          <w:sz w:val="32"/>
          <w:szCs w:val="32"/>
          <w:shd w:val="clear" w:color="auto" w:fill="FFFFFF"/>
          <w:lang w:eastAsia="zh-Hans"/>
        </w:rPr>
        <w:t>伴有高危因素</w:t>
      </w:r>
      <w:r>
        <w:rPr>
          <w:rFonts w:eastAsia="仿宋_GB2312"/>
          <w:color w:val="000000"/>
          <w:spacing w:val="15"/>
          <w:sz w:val="32"/>
          <w:szCs w:val="32"/>
          <w:shd w:val="clear" w:color="auto" w:fill="FFFFFF"/>
        </w:rPr>
        <w:t>且</w:t>
      </w:r>
      <w:r>
        <w:rPr>
          <w:rFonts w:eastAsia="仿宋_GB2312"/>
          <w:color w:val="000000"/>
          <w:spacing w:val="15"/>
          <w:sz w:val="32"/>
          <w:szCs w:val="32"/>
          <w:shd w:val="clear" w:color="auto" w:fill="FFFFFF"/>
          <w:lang w:eastAsia="zh-Hans"/>
        </w:rPr>
        <w:t>出现转重症倾向时</w:t>
      </w:r>
      <w:r>
        <w:rPr>
          <w:rFonts w:eastAsia="仿宋_GB2312"/>
          <w:color w:val="000000"/>
          <w:spacing w:val="15"/>
          <w:sz w:val="32"/>
          <w:szCs w:val="32"/>
          <w:shd w:val="clear" w:color="auto" w:fill="FFFFFF"/>
        </w:rPr>
        <w:t>，应</w:t>
      </w:r>
      <w:r>
        <w:rPr>
          <w:rFonts w:eastAsia="仿宋_GB2312"/>
          <w:color w:val="000000"/>
          <w:spacing w:val="15"/>
          <w:sz w:val="32"/>
          <w:szCs w:val="32"/>
          <w:shd w:val="clear" w:color="auto" w:fill="FFFFFF"/>
          <w:lang w:eastAsia="zh-Hans"/>
        </w:rPr>
        <w:t>及时</w:t>
      </w:r>
      <w:r>
        <w:rPr>
          <w:rFonts w:eastAsia="仿宋_GB2312"/>
          <w:color w:val="000000"/>
          <w:spacing w:val="15"/>
          <w:sz w:val="32"/>
          <w:szCs w:val="32"/>
          <w:shd w:val="clear" w:color="auto" w:fill="FFFFFF"/>
        </w:rPr>
        <w:t>请</w:t>
      </w:r>
      <w:r>
        <w:rPr>
          <w:rFonts w:eastAsia="仿宋_GB2312"/>
          <w:color w:val="000000"/>
          <w:spacing w:val="15"/>
          <w:sz w:val="32"/>
          <w:szCs w:val="32"/>
          <w:shd w:val="clear" w:color="auto" w:fill="FFFFFF"/>
          <w:lang w:eastAsia="zh-Hans"/>
        </w:rPr>
        <w:t>市级救治专家组</w:t>
      </w:r>
      <w:r>
        <w:rPr>
          <w:rFonts w:eastAsia="仿宋_GB2312"/>
          <w:color w:val="000000"/>
          <w:spacing w:val="15"/>
          <w:sz w:val="32"/>
          <w:szCs w:val="32"/>
          <w:shd w:val="clear" w:color="auto" w:fill="FFFFFF"/>
        </w:rPr>
        <w:t>会诊，由</w:t>
      </w:r>
      <w:r>
        <w:rPr>
          <w:rFonts w:eastAsia="仿宋_GB2312"/>
          <w:color w:val="000000"/>
          <w:spacing w:val="15"/>
          <w:sz w:val="32"/>
          <w:szCs w:val="32"/>
          <w:shd w:val="clear" w:color="auto" w:fill="FFFFFF"/>
          <w:lang w:eastAsia="zh-Hans"/>
        </w:rPr>
        <w:t>市级救治专家</w:t>
      </w:r>
      <w:r>
        <w:rPr>
          <w:rFonts w:eastAsia="仿宋_GB2312"/>
          <w:color w:val="000000"/>
          <w:spacing w:val="15"/>
          <w:sz w:val="32"/>
          <w:szCs w:val="32"/>
          <w:shd w:val="clear" w:color="auto" w:fill="FFFFFF"/>
        </w:rPr>
        <w:t>评估是否需要转诊，</w:t>
      </w:r>
      <w:r>
        <w:rPr>
          <w:rFonts w:eastAsia="仿宋_GB2312"/>
          <w:color w:val="000000"/>
          <w:spacing w:val="15"/>
          <w:sz w:val="32"/>
          <w:szCs w:val="32"/>
          <w:shd w:val="clear" w:color="auto" w:fill="FFFFFF"/>
          <w:lang w:eastAsia="zh-Hans"/>
        </w:rPr>
        <w:t>需</w:t>
      </w:r>
      <w:r>
        <w:rPr>
          <w:rFonts w:eastAsia="仿宋_GB2312"/>
          <w:color w:val="000000"/>
          <w:spacing w:val="15"/>
          <w:sz w:val="32"/>
          <w:szCs w:val="32"/>
          <w:shd w:val="clear" w:color="auto" w:fill="FFFFFF"/>
        </w:rPr>
        <w:t>要</w:t>
      </w:r>
      <w:r>
        <w:rPr>
          <w:rFonts w:eastAsia="仿宋_GB2312"/>
          <w:color w:val="000000"/>
          <w:spacing w:val="15"/>
          <w:sz w:val="32"/>
          <w:szCs w:val="32"/>
          <w:shd w:val="clear" w:color="auto" w:fill="FFFFFF"/>
          <w:lang w:eastAsia="zh-Hans"/>
        </w:rPr>
        <w:t>转诊</w:t>
      </w:r>
      <w:r>
        <w:rPr>
          <w:rFonts w:eastAsia="仿宋_GB2312"/>
          <w:color w:val="000000"/>
          <w:spacing w:val="15"/>
          <w:sz w:val="32"/>
          <w:szCs w:val="32"/>
          <w:shd w:val="clear" w:color="auto" w:fill="FFFFFF"/>
        </w:rPr>
        <w:t>的</w:t>
      </w:r>
      <w:r>
        <w:rPr>
          <w:rFonts w:eastAsia="仿宋_GB2312"/>
          <w:color w:val="000000"/>
          <w:spacing w:val="15"/>
          <w:sz w:val="32"/>
          <w:szCs w:val="32"/>
          <w:shd w:val="clear" w:color="auto" w:fill="FFFFFF"/>
          <w:lang w:eastAsia="zh-Hans"/>
        </w:rPr>
        <w:t>按流程</w:t>
      </w:r>
      <w:r>
        <w:rPr>
          <w:rFonts w:eastAsia="仿宋_GB2312"/>
          <w:color w:val="000000"/>
          <w:spacing w:val="15"/>
          <w:sz w:val="32"/>
          <w:szCs w:val="32"/>
          <w:shd w:val="clear" w:color="auto" w:fill="FFFFFF"/>
        </w:rPr>
        <w:t>及时</w:t>
      </w:r>
      <w:r>
        <w:rPr>
          <w:rFonts w:eastAsia="仿宋_GB2312"/>
          <w:color w:val="000000"/>
          <w:spacing w:val="15"/>
          <w:sz w:val="32"/>
          <w:szCs w:val="32"/>
          <w:shd w:val="clear" w:color="auto" w:fill="FFFFFF"/>
          <w:lang w:eastAsia="zh-Hans"/>
        </w:rPr>
        <w:t>转</w:t>
      </w:r>
      <w:r>
        <w:rPr>
          <w:rFonts w:eastAsia="仿宋_GB2312"/>
          <w:color w:val="000000"/>
          <w:spacing w:val="15"/>
          <w:sz w:val="32"/>
          <w:szCs w:val="32"/>
          <w:shd w:val="clear" w:color="auto" w:fill="FFFFFF"/>
        </w:rPr>
        <w:t>至市级定点医院、三级综合医院独立院区集中收治。</w:t>
      </w:r>
      <w:r>
        <w:rPr>
          <w:rFonts w:eastAsia="仿宋_GB2312"/>
          <w:color w:val="000000"/>
          <w:spacing w:val="15"/>
          <w:sz w:val="32"/>
          <w:szCs w:val="32"/>
          <w:shd w:val="clear" w:color="auto" w:fill="FFFFFF"/>
          <w:lang w:eastAsia="zh-Hans"/>
        </w:rPr>
        <w:t>省级救治专家组</w:t>
      </w:r>
      <w:r>
        <w:rPr>
          <w:rFonts w:eastAsia="仿宋_GB2312"/>
          <w:color w:val="000000"/>
          <w:spacing w:val="15"/>
          <w:sz w:val="32"/>
          <w:szCs w:val="32"/>
          <w:shd w:val="clear" w:color="auto" w:fill="FFFFFF"/>
        </w:rPr>
        <w:t>包片</w:t>
      </w:r>
      <w:r>
        <w:rPr>
          <w:rFonts w:eastAsia="仿宋_GB2312"/>
          <w:color w:val="000000"/>
          <w:spacing w:val="15"/>
          <w:sz w:val="32"/>
          <w:szCs w:val="32"/>
          <w:shd w:val="clear" w:color="auto" w:fill="FFFFFF"/>
          <w:lang w:eastAsia="zh-Hans"/>
        </w:rPr>
        <w:t>指导各市</w:t>
      </w:r>
      <w:r>
        <w:rPr>
          <w:rFonts w:eastAsia="仿宋_GB2312"/>
          <w:color w:val="000000"/>
          <w:spacing w:val="15"/>
          <w:sz w:val="32"/>
          <w:szCs w:val="32"/>
          <w:shd w:val="clear" w:color="auto" w:fill="FFFFFF"/>
        </w:rPr>
        <w:t>确诊病例特别是</w:t>
      </w:r>
      <w:r>
        <w:rPr>
          <w:rFonts w:eastAsia="仿宋_GB2312"/>
          <w:color w:val="000000"/>
          <w:spacing w:val="15"/>
          <w:sz w:val="32"/>
          <w:szCs w:val="32"/>
          <w:shd w:val="clear" w:color="auto" w:fill="FFFFFF"/>
          <w:lang w:eastAsia="zh-Hans"/>
        </w:rPr>
        <w:t>重型、危重型</w:t>
      </w:r>
      <w:r>
        <w:rPr>
          <w:rFonts w:eastAsia="仿宋_GB2312"/>
          <w:color w:val="000000"/>
          <w:spacing w:val="15"/>
          <w:sz w:val="32"/>
          <w:szCs w:val="32"/>
          <w:shd w:val="clear" w:color="auto" w:fill="FFFFFF"/>
        </w:rPr>
        <w:t>病例救治，</w:t>
      </w:r>
      <w:r>
        <w:rPr>
          <w:rFonts w:eastAsia="仿宋_GB2312"/>
          <w:color w:val="000000"/>
          <w:spacing w:val="15"/>
          <w:sz w:val="32"/>
          <w:szCs w:val="32"/>
          <w:shd w:val="clear" w:color="auto" w:fill="FFFFFF"/>
          <w:lang w:eastAsia="zh-Hans"/>
        </w:rPr>
        <w:t>市级救治专家组负责指导县</w:t>
      </w:r>
      <w:r>
        <w:rPr>
          <w:rFonts w:eastAsia="仿宋_GB2312"/>
          <w:color w:val="000000"/>
          <w:spacing w:val="15"/>
          <w:sz w:val="32"/>
          <w:szCs w:val="32"/>
          <w:shd w:val="clear" w:color="auto" w:fill="FFFFFF"/>
        </w:rPr>
        <w:t>级医院医疗救治。方舱医院、</w:t>
      </w:r>
      <w:r>
        <w:rPr>
          <w:rFonts w:eastAsia="仿宋_GB2312"/>
          <w:kern w:val="0"/>
          <w:sz w:val="32"/>
          <w:szCs w:val="32"/>
          <w:lang w:bidi="ar"/>
        </w:rPr>
        <w:t>亚（准）定点医院、定点医院、</w:t>
      </w:r>
      <w:r>
        <w:rPr>
          <w:rFonts w:eastAsia="仿宋_GB2312"/>
          <w:color w:val="000000"/>
          <w:spacing w:val="15"/>
          <w:sz w:val="32"/>
          <w:szCs w:val="32"/>
          <w:shd w:val="clear" w:color="auto" w:fill="FFFFFF"/>
        </w:rPr>
        <w:t>传染病专科医院、二级及以上综合医院</w:t>
      </w:r>
      <w:r>
        <w:rPr>
          <w:rFonts w:eastAsia="仿宋_GB2312"/>
          <w:kern w:val="0"/>
          <w:sz w:val="32"/>
          <w:szCs w:val="32"/>
          <w:lang w:bidi="ar"/>
        </w:rPr>
        <w:t>等医疗机构，要确定专岗专人，负责与基层医疗卫生机构、转运车辆等做好转诊衔接。要建立明确的接诊流程和绿色通道，三级医院要专门开设高风险人群接诊绿色通道，不得延误、推诿、拒收转诊的高风险患者。</w:t>
      </w:r>
    </w:p>
    <w:p>
      <w:pPr>
        <w:widowControl/>
        <w:tabs>
          <w:tab w:val="left" w:pos="840"/>
        </w:tabs>
        <w:spacing w:line="560" w:lineRule="exact"/>
        <w:ind w:firstLine="643" w:firstLineChars="200"/>
        <w:rPr>
          <w:rFonts w:ascii="楷体_GB2312" w:eastAsia="楷体_GB2312"/>
          <w:b/>
          <w:kern w:val="0"/>
          <w:sz w:val="32"/>
          <w:szCs w:val="32"/>
          <w:lang w:bidi="ar"/>
        </w:rPr>
      </w:pPr>
      <w:r>
        <w:rPr>
          <w:rFonts w:ascii="楷体_GB2312" w:eastAsia="楷体_GB2312"/>
          <w:b/>
          <w:kern w:val="0"/>
          <w:sz w:val="32"/>
          <w:szCs w:val="32"/>
          <w:lang w:bidi="ar"/>
        </w:rPr>
        <w:t>（六）充分发挥信息化的支持作用。</w:t>
      </w:r>
    </w:p>
    <w:p>
      <w:pPr>
        <w:widowControl/>
        <w:tabs>
          <w:tab w:val="left" w:pos="840"/>
        </w:tabs>
        <w:spacing w:line="560" w:lineRule="exact"/>
        <w:ind w:firstLine="640" w:firstLineChars="200"/>
        <w:rPr>
          <w:rFonts w:eastAsia="仿宋_GB2312"/>
          <w:kern w:val="0"/>
          <w:sz w:val="32"/>
          <w:szCs w:val="32"/>
          <w:lang w:bidi="ar"/>
        </w:rPr>
      </w:pPr>
      <w:r>
        <w:rPr>
          <w:rFonts w:eastAsia="仿宋_GB2312"/>
          <w:kern w:val="0"/>
          <w:sz w:val="32"/>
          <w:szCs w:val="32"/>
          <w:lang w:bidi="ar"/>
        </w:rPr>
        <w:t>1.以医联体为单位，实现社区卫生服务中心、乡镇卫生院发热诊室（门诊）远程医疗全覆盖，上级医院通过远程会诊、远程诊断、远程培训等方式提高基层首诊能力。</w:t>
      </w:r>
    </w:p>
    <w:p>
      <w:pPr>
        <w:widowControl/>
        <w:tabs>
          <w:tab w:val="left" w:pos="840"/>
        </w:tabs>
        <w:spacing w:line="560" w:lineRule="exact"/>
        <w:ind w:firstLine="640" w:firstLineChars="200"/>
        <w:rPr>
          <w:rFonts w:eastAsia="仿宋_GB2312"/>
          <w:kern w:val="0"/>
          <w:sz w:val="32"/>
          <w:szCs w:val="32"/>
          <w:lang w:bidi="ar"/>
        </w:rPr>
      </w:pPr>
      <w:r>
        <w:rPr>
          <w:rFonts w:eastAsia="仿宋_GB2312"/>
          <w:kern w:val="0"/>
          <w:sz w:val="32"/>
          <w:szCs w:val="32"/>
          <w:lang w:bidi="ar"/>
        </w:rPr>
        <w:t>2.加强医联体内各医疗机构门诊电子病历互联互通，推动有序双向转诊。</w:t>
      </w:r>
    </w:p>
    <w:p>
      <w:pPr>
        <w:widowControl/>
        <w:tabs>
          <w:tab w:val="left" w:pos="840"/>
        </w:tabs>
        <w:spacing w:line="560" w:lineRule="exact"/>
        <w:ind w:firstLine="640" w:firstLineChars="200"/>
        <w:rPr>
          <w:rFonts w:eastAsia="仿宋_GB2312"/>
          <w:kern w:val="0"/>
          <w:sz w:val="32"/>
          <w:szCs w:val="32"/>
          <w:lang w:bidi="ar"/>
        </w:rPr>
      </w:pPr>
      <w:r>
        <w:rPr>
          <w:rFonts w:eastAsia="仿宋_GB2312"/>
          <w:kern w:val="0"/>
          <w:sz w:val="32"/>
          <w:szCs w:val="32"/>
          <w:lang w:bidi="ar"/>
        </w:rPr>
        <w:t>3.依托市、县全民健康信息平台、分级诊疗转诊平台等信息化平台，推动</w:t>
      </w:r>
      <w:r>
        <w:rPr>
          <w:rFonts w:eastAsia="仿宋_GB2312"/>
          <w:color w:val="000000"/>
          <w:spacing w:val="15"/>
          <w:sz w:val="32"/>
          <w:szCs w:val="32"/>
          <w:shd w:val="clear" w:color="auto" w:fill="FFFFFF"/>
        </w:rPr>
        <w:t>方舱医院、</w:t>
      </w:r>
      <w:r>
        <w:rPr>
          <w:rFonts w:eastAsia="仿宋_GB2312"/>
          <w:kern w:val="0"/>
          <w:sz w:val="32"/>
          <w:szCs w:val="32"/>
          <w:lang w:bidi="ar"/>
        </w:rPr>
        <w:t>亚（准）定点医院、定点医院、</w:t>
      </w:r>
      <w:r>
        <w:rPr>
          <w:rFonts w:eastAsia="仿宋_GB2312"/>
          <w:color w:val="000000"/>
          <w:spacing w:val="15"/>
          <w:sz w:val="32"/>
          <w:szCs w:val="32"/>
          <w:shd w:val="clear" w:color="auto" w:fill="FFFFFF"/>
        </w:rPr>
        <w:t>传染病专科医院、二级及以上综合医院</w:t>
      </w:r>
      <w:r>
        <w:rPr>
          <w:rFonts w:eastAsia="仿宋_GB2312"/>
          <w:kern w:val="0"/>
          <w:sz w:val="32"/>
          <w:szCs w:val="32"/>
          <w:lang w:bidi="ar"/>
        </w:rPr>
        <w:t>之间的信息互联互通，确保需要救治的患者及时诊断、及时转运、及时救治。</w:t>
      </w:r>
    </w:p>
    <w:p>
      <w:pPr>
        <w:widowControl/>
        <w:tabs>
          <w:tab w:val="left" w:pos="840"/>
        </w:tabs>
        <w:spacing w:line="560" w:lineRule="exact"/>
        <w:ind w:firstLine="640" w:firstLineChars="200"/>
        <w:rPr>
          <w:rFonts w:eastAsia="仿宋_GB2312"/>
          <w:kern w:val="0"/>
          <w:sz w:val="32"/>
          <w:szCs w:val="32"/>
          <w:lang w:bidi="ar"/>
        </w:rPr>
      </w:pPr>
      <w:r>
        <w:rPr>
          <w:rFonts w:eastAsia="仿宋_GB2312"/>
          <w:kern w:val="0"/>
          <w:sz w:val="32"/>
          <w:szCs w:val="32"/>
          <w:lang w:bidi="ar"/>
        </w:rPr>
        <w:t>4.充分发挥互联网医疗服务便捷、高效的积极作用，利用互联网医院、互联网诊疗平台、官方新媒体平台等信息化平台和技术手段，积极开展线上健康评估、居家健康指导、健康宣教、心理疏导，提供互联网诊疗和线下药品配送到家服务，及时将出现病情变化的患者精准引导到有能力的医疗机构就诊。</w:t>
      </w:r>
    </w:p>
    <w:p>
      <w:pPr>
        <w:widowControl/>
        <w:tabs>
          <w:tab w:val="left" w:pos="840"/>
        </w:tabs>
        <w:spacing w:line="560" w:lineRule="exact"/>
        <w:ind w:firstLine="640" w:firstLineChars="200"/>
        <w:rPr>
          <w:rFonts w:eastAsia="仿宋_GB2312"/>
          <w:kern w:val="0"/>
          <w:sz w:val="32"/>
          <w:szCs w:val="32"/>
          <w:lang w:bidi="ar"/>
        </w:rPr>
      </w:pPr>
      <w:r>
        <w:rPr>
          <w:rFonts w:eastAsia="方正黑体_GBK"/>
          <w:kern w:val="0"/>
          <w:sz w:val="32"/>
          <w:szCs w:val="32"/>
          <w:lang w:bidi="ar"/>
        </w:rPr>
        <w:t>三、组织实施</w:t>
      </w:r>
    </w:p>
    <w:p>
      <w:pPr>
        <w:widowControl/>
        <w:tabs>
          <w:tab w:val="left" w:pos="840"/>
        </w:tabs>
        <w:spacing w:line="560" w:lineRule="exact"/>
        <w:ind w:firstLine="643" w:firstLineChars="200"/>
        <w:rPr>
          <w:rFonts w:eastAsia="仿宋_GB2312"/>
          <w:kern w:val="0"/>
          <w:sz w:val="32"/>
          <w:szCs w:val="32"/>
          <w:lang w:bidi="ar"/>
        </w:rPr>
      </w:pPr>
      <w:r>
        <w:rPr>
          <w:rFonts w:ascii="楷体_GB2312" w:eastAsia="楷体_GB2312"/>
          <w:b/>
          <w:kern w:val="0"/>
          <w:sz w:val="32"/>
          <w:szCs w:val="32"/>
          <w:lang w:bidi="ar"/>
        </w:rPr>
        <w:t>（一）加强组织保障。</w:t>
      </w:r>
      <w:r>
        <w:rPr>
          <w:rFonts w:eastAsia="仿宋_GB2312"/>
          <w:kern w:val="0"/>
          <w:sz w:val="32"/>
          <w:szCs w:val="32"/>
          <w:lang w:bidi="ar"/>
        </w:rPr>
        <w:t>各市要在2022年12月20日前健全辖区内新冠病毒感染者诊疗医疗机构网格化布局，确保新冠肺炎高风险人群全覆盖，对高风险人群健康监测、治疗药物和医疗设备等提供经费保障。同时，要在12月20日前指导督促具备条件的基层医疗卫生机构发热诊室（门诊）全部开放，配齐中药和抗原检测试剂。组建转运转诊专班，明确各级各类医疗机构之间双向转诊工作流程，统筹协调分级诊疗过程中的患者转运工作。</w:t>
      </w:r>
    </w:p>
    <w:p>
      <w:pPr>
        <w:widowControl/>
        <w:tabs>
          <w:tab w:val="left" w:pos="840"/>
        </w:tabs>
        <w:spacing w:line="560" w:lineRule="exact"/>
        <w:ind w:firstLine="643" w:firstLineChars="200"/>
        <w:rPr>
          <w:rFonts w:eastAsia="仿宋_GB2312"/>
          <w:kern w:val="0"/>
          <w:sz w:val="32"/>
          <w:szCs w:val="32"/>
          <w:lang w:bidi="ar"/>
        </w:rPr>
      </w:pPr>
      <w:r>
        <w:rPr>
          <w:rFonts w:ascii="楷体_GB2312" w:eastAsia="楷体_GB2312"/>
          <w:b/>
          <w:kern w:val="0"/>
          <w:sz w:val="32"/>
          <w:szCs w:val="32"/>
          <w:lang w:bidi="ar"/>
        </w:rPr>
        <w:t>（二）细化实施方案。</w:t>
      </w:r>
      <w:r>
        <w:rPr>
          <w:rFonts w:eastAsia="仿宋_GB2312"/>
          <w:kern w:val="0"/>
          <w:sz w:val="32"/>
          <w:szCs w:val="32"/>
          <w:lang w:bidi="ar"/>
        </w:rPr>
        <w:t>各市要在2022年12月15日前，结合本地实际制定具体实施方案，指导辖区内县级卫生健康行政部门、各医疗卫生机构做好基层首诊准备工作，确定新冠病毒感染者分级诊疗流程，并将实施方案报省疫防办诊疗救治组。</w:t>
      </w:r>
    </w:p>
    <w:p>
      <w:pPr>
        <w:widowControl/>
        <w:tabs>
          <w:tab w:val="left" w:pos="840"/>
        </w:tabs>
        <w:spacing w:line="560" w:lineRule="exact"/>
        <w:ind w:firstLine="643" w:firstLineChars="200"/>
        <w:rPr>
          <w:rFonts w:eastAsia="仿宋_GB2312"/>
          <w:kern w:val="0"/>
          <w:sz w:val="32"/>
          <w:szCs w:val="32"/>
          <w:lang w:bidi="ar"/>
        </w:rPr>
      </w:pPr>
      <w:r>
        <w:rPr>
          <w:rFonts w:ascii="楷体_GB2312" w:eastAsia="楷体_GB2312"/>
          <w:b/>
          <w:kern w:val="0"/>
          <w:sz w:val="32"/>
          <w:szCs w:val="32"/>
          <w:lang w:bidi="ar"/>
        </w:rPr>
        <w:t>（三）做好监督指导。</w:t>
      </w:r>
      <w:r>
        <w:rPr>
          <w:rFonts w:eastAsia="仿宋_GB2312"/>
          <w:kern w:val="0"/>
          <w:sz w:val="32"/>
          <w:szCs w:val="32"/>
          <w:lang w:bidi="ar"/>
        </w:rPr>
        <w:t>各市卫生健康行政部门采取多种方式加强医务人员培训，重点对基层医疗卫生机构人员开展新冠病毒感染相关症状识别、抗原检测、健康监测、转诊流程等培训。指导</w:t>
      </w:r>
      <w:r>
        <w:rPr>
          <w:rFonts w:eastAsia="仿宋_GB2312"/>
          <w:color w:val="000000"/>
          <w:spacing w:val="15"/>
          <w:sz w:val="32"/>
          <w:szCs w:val="32"/>
          <w:shd w:val="clear" w:color="auto" w:fill="FFFFFF"/>
        </w:rPr>
        <w:t>定点医院、三级医院</w:t>
      </w:r>
      <w:r>
        <w:rPr>
          <w:rFonts w:eastAsia="仿宋_GB2312"/>
          <w:kern w:val="0"/>
          <w:sz w:val="32"/>
          <w:szCs w:val="32"/>
          <w:lang w:bidi="ar"/>
        </w:rPr>
        <w:t>做好重症救治准备，督促牵头医院落实对基层医疗卫生机构医疗救治、健康监测和感染防控的指导责任，派出医务人员、感控人员驻点指导，不断提升基层医疗卫生机构对感染者的发现、处置能力。省疫防办将对各地实施情况进行督导检查。</w:t>
      </w:r>
    </w:p>
    <w:p>
      <w:pPr>
        <w:widowControl/>
        <w:spacing w:line="560" w:lineRule="exact"/>
        <w:ind w:firstLine="643" w:firstLineChars="200"/>
        <w:rPr>
          <w:rFonts w:eastAsia="仿宋_GB2312"/>
          <w:kern w:val="0"/>
          <w:sz w:val="32"/>
          <w:szCs w:val="32"/>
          <w:lang w:bidi="ar"/>
        </w:rPr>
      </w:pPr>
      <w:r>
        <w:rPr>
          <w:rFonts w:hint="eastAsia" w:ascii="楷体_GB2312" w:eastAsia="楷体_GB2312"/>
          <w:b/>
          <w:kern w:val="0"/>
          <w:sz w:val="32"/>
          <w:szCs w:val="32"/>
          <w:lang w:bidi="ar"/>
        </w:rPr>
        <w:t>（四）加强宣传引导。</w:t>
      </w:r>
      <w:r>
        <w:rPr>
          <w:rFonts w:eastAsia="仿宋_GB2312"/>
          <w:kern w:val="0"/>
          <w:sz w:val="32"/>
          <w:szCs w:val="32"/>
          <w:lang w:bidi="ar"/>
        </w:rPr>
        <w:t>加强对基层医疗卫生服务能力提升和分级诊疗工作安排的宣传，增强人民群众对新冠病毒感染者分级诊疗的认知度和认可度，树立科学就医理念，促进形成有序就医格局。</w:t>
      </w:r>
    </w:p>
    <w:p>
      <w:pPr>
        <w:tabs>
          <w:tab w:val="center" w:pos="4153"/>
          <w:tab w:val="right" w:pos="8306"/>
        </w:tabs>
        <w:snapToGrid w:val="0"/>
        <w:jc w:val="left"/>
        <w:rPr>
          <w:sz w:val="18"/>
          <w:szCs w:val="18"/>
        </w:rPr>
      </w:pPr>
    </w:p>
    <w:p>
      <w:pPr>
        <w:widowControl/>
        <w:spacing w:line="560" w:lineRule="exact"/>
        <w:ind w:firstLine="640" w:firstLineChars="200"/>
        <w:rPr>
          <w:rFonts w:ascii="仿宋_GB2312" w:hAnsi="仿宋_GB2312" w:eastAsia="仿宋_GB2312" w:cs="仿宋_GB2312"/>
          <w:kern w:val="0"/>
          <w:sz w:val="32"/>
          <w:szCs w:val="32"/>
          <w:lang w:bidi="ar"/>
        </w:rPr>
      </w:pPr>
    </w:p>
    <w:p>
      <w:pPr>
        <w:widowControl/>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附件：新冠肺炎相关健康风险评估标准</w:t>
      </w:r>
    </w:p>
    <w:p>
      <w:pPr>
        <w:widowControl/>
        <w:numPr>
          <w:ilvl w:val="255"/>
          <w:numId w:val="0"/>
        </w:numPr>
        <w:spacing w:line="560" w:lineRule="exact"/>
        <w:rPr>
          <w:rFonts w:ascii="仿宋_GB2312" w:hAnsi="仿宋_GB2312" w:eastAsia="仿宋_GB2312" w:cs="仿宋_GB2312"/>
          <w:kern w:val="0"/>
          <w:sz w:val="32"/>
          <w:szCs w:val="32"/>
          <w:lang w:bidi="ar"/>
        </w:rPr>
      </w:pPr>
    </w:p>
    <w:p>
      <w:pPr>
        <w:adjustRightInd w:val="0"/>
        <w:snapToGrid w:val="0"/>
        <w:ind w:right="153" w:rightChars="73"/>
        <w:rPr>
          <w:rFonts w:ascii="黑体" w:hAnsi="黑体" w:eastAsia="黑体" w:cs="黑体"/>
          <w:bCs/>
          <w:sz w:val="32"/>
          <w:szCs w:val="32"/>
        </w:rPr>
      </w:pPr>
      <w:r>
        <w:rPr>
          <w:rFonts w:ascii="黑体" w:hAnsi="黑体" w:eastAsia="黑体" w:cs="黑体"/>
          <w:bCs/>
          <w:sz w:val="32"/>
          <w:szCs w:val="32"/>
        </w:rPr>
        <w:br w:type="page"/>
      </w:r>
    </w:p>
    <w:p>
      <w:pPr>
        <w:adjustRightInd w:val="0"/>
        <w:snapToGrid w:val="0"/>
        <w:ind w:right="153" w:rightChars="73"/>
        <w:rPr>
          <w:rFonts w:ascii="黑体" w:hAnsi="黑体" w:eastAsia="黑体" w:cs="黑体"/>
          <w:bCs/>
          <w:sz w:val="32"/>
          <w:szCs w:val="32"/>
        </w:rPr>
      </w:pPr>
      <w:r>
        <w:rPr>
          <w:rFonts w:hint="eastAsia" w:ascii="黑体" w:hAnsi="黑体" w:eastAsia="黑体" w:cs="黑体"/>
          <w:bCs/>
          <w:sz w:val="32"/>
          <w:szCs w:val="32"/>
        </w:rPr>
        <w:t>附件</w:t>
      </w:r>
    </w:p>
    <w:p>
      <w:pPr>
        <w:adjustRightInd w:val="0"/>
        <w:snapToGrid w:val="0"/>
        <w:ind w:right="153" w:rightChars="73"/>
        <w:rPr>
          <w:rFonts w:ascii="黑体" w:hAnsi="黑体" w:eastAsia="黑体" w:cs="黑体"/>
          <w:bCs/>
          <w:sz w:val="32"/>
          <w:szCs w:val="32"/>
        </w:rPr>
      </w:pPr>
    </w:p>
    <w:p>
      <w:pPr>
        <w:adjustRightInd w:val="0"/>
        <w:snapToGrid w:val="0"/>
        <w:spacing w:line="560" w:lineRule="exact"/>
        <w:jc w:val="center"/>
        <w:rPr>
          <w:rFonts w:ascii="方正小标宋简体" w:hAnsi="宋体" w:eastAsia="方正小标宋简体" w:cs="宋体"/>
          <w:bCs/>
          <w:sz w:val="36"/>
          <w:szCs w:val="44"/>
          <w:lang w:val="en"/>
        </w:rPr>
      </w:pPr>
      <w:r>
        <w:rPr>
          <w:rFonts w:hint="eastAsia" w:ascii="方正小标宋简体" w:hAnsi="宋体" w:eastAsia="方正小标宋简体" w:cs="宋体"/>
          <w:bCs/>
          <w:sz w:val="36"/>
          <w:szCs w:val="44"/>
          <w:lang w:val="en"/>
        </w:rPr>
        <w:t>新冠肺炎相关健康风险评估标准</w:t>
      </w:r>
    </w:p>
    <w:p>
      <w:pPr>
        <w:pStyle w:val="2"/>
        <w:rPr>
          <w:lang w:val="en"/>
        </w:rPr>
      </w:pPr>
    </w:p>
    <w:tbl>
      <w:tblPr>
        <w:tblStyle w:val="43"/>
        <w:tblW w:w="9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3"/>
        <w:gridCol w:w="2268"/>
        <w:gridCol w:w="3055"/>
        <w:gridCol w:w="2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243" w:type="dxa"/>
            <w:vAlign w:val="center"/>
          </w:tcPr>
          <w:p>
            <w:pPr>
              <w:jc w:val="center"/>
              <w:rPr>
                <w:rFonts w:ascii="黑体" w:hAnsi="黑体" w:eastAsia="黑体" w:cs="黑体"/>
                <w:sz w:val="28"/>
                <w:szCs w:val="32"/>
                <w:lang w:val="en"/>
              </w:rPr>
            </w:pPr>
            <w:r>
              <w:rPr>
                <w:rFonts w:hint="eastAsia" w:ascii="黑体" w:hAnsi="黑体" w:eastAsia="黑体" w:cs="黑体"/>
                <w:sz w:val="28"/>
                <w:szCs w:val="32"/>
                <w:lang w:val="en"/>
              </w:rPr>
              <w:t>风险等级</w:t>
            </w:r>
          </w:p>
        </w:tc>
        <w:tc>
          <w:tcPr>
            <w:tcW w:w="7667" w:type="dxa"/>
            <w:gridSpan w:val="3"/>
            <w:vAlign w:val="center"/>
          </w:tcPr>
          <w:p>
            <w:pPr>
              <w:jc w:val="center"/>
              <w:rPr>
                <w:rFonts w:ascii="黑体" w:hAnsi="黑体" w:eastAsia="黑体" w:cs="黑体"/>
                <w:sz w:val="28"/>
                <w:szCs w:val="32"/>
                <w:lang w:val="en"/>
              </w:rPr>
            </w:pPr>
            <w:r>
              <w:rPr>
                <w:rFonts w:hint="eastAsia" w:ascii="黑体" w:hAnsi="黑体" w:eastAsia="黑体" w:cs="黑体"/>
                <w:sz w:val="28"/>
                <w:szCs w:val="32"/>
                <w:lang w:val="en"/>
              </w:rPr>
              <w:t>居民情况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43" w:type="dxa"/>
            <w:vAlign w:val="center"/>
          </w:tcPr>
          <w:p>
            <w:pPr>
              <w:jc w:val="center"/>
              <w:rPr>
                <w:rFonts w:ascii="黑体" w:hAnsi="黑体" w:eastAsia="黑体" w:cs="黑体"/>
                <w:sz w:val="28"/>
                <w:szCs w:val="28"/>
                <w:lang w:val="en"/>
              </w:rPr>
            </w:pPr>
            <w:r>
              <w:rPr>
                <w:rFonts w:hint="eastAsia" w:ascii="黑体" w:hAnsi="黑体" w:eastAsia="黑体" w:cs="黑体"/>
                <w:sz w:val="28"/>
                <w:szCs w:val="28"/>
                <w:lang w:val="en"/>
              </w:rPr>
              <w:t>绿色标识</w:t>
            </w:r>
          </w:p>
          <w:p>
            <w:pPr>
              <w:jc w:val="center"/>
              <w:rPr>
                <w:rFonts w:ascii="黑体" w:hAnsi="黑体" w:eastAsia="黑体" w:cs="黑体"/>
                <w:sz w:val="28"/>
                <w:szCs w:val="28"/>
                <w:lang w:val="en"/>
              </w:rPr>
            </w:pPr>
            <w:r>
              <w:rPr>
                <w:rFonts w:hint="eastAsia" w:ascii="黑体" w:hAnsi="黑体" w:eastAsia="黑体" w:cs="黑体"/>
                <w:sz w:val="28"/>
                <w:szCs w:val="28"/>
                <w:lang w:val="en"/>
              </w:rPr>
              <w:t>低风险一般人群</w:t>
            </w:r>
          </w:p>
        </w:tc>
        <w:tc>
          <w:tcPr>
            <w:tcW w:w="2268" w:type="dxa"/>
            <w:vAlign w:val="center"/>
          </w:tcPr>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1.年龄＜80岁；</w:t>
            </w:r>
          </w:p>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2.无基础疾病。</w:t>
            </w:r>
          </w:p>
        </w:tc>
        <w:tc>
          <w:tcPr>
            <w:tcW w:w="3055" w:type="dxa"/>
            <w:vAlign w:val="center"/>
          </w:tcPr>
          <w:p>
            <w:pPr>
              <w:adjustRightInd w:val="0"/>
              <w:snapToGrid w:val="0"/>
              <w:spacing w:line="38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1.年龄＜80岁；</w:t>
            </w:r>
          </w:p>
          <w:p>
            <w:pPr>
              <w:adjustRightInd w:val="0"/>
              <w:snapToGrid w:val="0"/>
              <w:spacing w:line="38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2.基础疾病稳定；</w:t>
            </w:r>
          </w:p>
          <w:p>
            <w:pPr>
              <w:adjustRightInd w:val="0"/>
              <w:snapToGrid w:val="0"/>
              <w:spacing w:line="38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3.全程接种疫苗。</w:t>
            </w:r>
          </w:p>
        </w:tc>
        <w:tc>
          <w:tcPr>
            <w:tcW w:w="2344" w:type="dxa"/>
            <w:vAlign w:val="center"/>
          </w:tcPr>
          <w:p>
            <w:pPr>
              <w:adjustRightInd w:val="0"/>
              <w:snapToGrid w:val="0"/>
              <w:spacing w:line="400" w:lineRule="exact"/>
              <w:rPr>
                <w:rFonts w:ascii="仿宋_GB2312" w:hAnsi="仿宋_GB2312" w:eastAsia="仿宋_GB2312" w:cs="仿宋_GB2312"/>
                <w:sz w:val="24"/>
                <w:szCs w:val="28"/>
                <w:lang w:val="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3" w:type="dxa"/>
            <w:vAlign w:val="center"/>
          </w:tcPr>
          <w:p>
            <w:pPr>
              <w:jc w:val="center"/>
              <w:rPr>
                <w:rFonts w:ascii="黑体" w:hAnsi="黑体" w:eastAsia="黑体" w:cs="黑体"/>
                <w:sz w:val="28"/>
                <w:szCs w:val="28"/>
                <w:lang w:val="en"/>
              </w:rPr>
            </w:pPr>
            <w:r>
              <w:rPr>
                <w:rFonts w:hint="eastAsia" w:ascii="黑体" w:hAnsi="黑体" w:eastAsia="黑体" w:cs="黑体"/>
                <w:sz w:val="28"/>
                <w:szCs w:val="28"/>
                <w:lang w:val="en"/>
              </w:rPr>
              <w:t>黄色标识</w:t>
            </w:r>
          </w:p>
          <w:p>
            <w:pPr>
              <w:jc w:val="center"/>
              <w:rPr>
                <w:rFonts w:ascii="黑体" w:hAnsi="黑体" w:eastAsia="黑体" w:cs="黑体"/>
                <w:sz w:val="28"/>
                <w:szCs w:val="28"/>
                <w:lang w:val="en"/>
              </w:rPr>
            </w:pPr>
            <w:r>
              <w:rPr>
                <w:rFonts w:hint="eastAsia" w:ascii="黑体" w:hAnsi="黑体" w:eastAsia="黑体" w:cs="黑体"/>
                <w:spacing w:val="-17"/>
                <w:sz w:val="28"/>
                <w:szCs w:val="28"/>
                <w:lang w:val="en"/>
              </w:rPr>
              <w:t>中风险次重点人群</w:t>
            </w:r>
          </w:p>
        </w:tc>
        <w:tc>
          <w:tcPr>
            <w:tcW w:w="2268" w:type="dxa"/>
            <w:vAlign w:val="center"/>
          </w:tcPr>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1.年龄＜</w:t>
            </w:r>
            <w:r>
              <w:rPr>
                <w:rFonts w:ascii="仿宋_GB2312" w:hAnsi="仿宋_GB2312" w:eastAsia="仿宋_GB2312" w:cs="仿宋_GB2312"/>
                <w:sz w:val="24"/>
                <w:szCs w:val="28"/>
              </w:rPr>
              <w:t>65</w:t>
            </w:r>
            <w:r>
              <w:rPr>
                <w:rFonts w:hint="eastAsia" w:ascii="仿宋_GB2312" w:hAnsi="仿宋_GB2312" w:eastAsia="仿宋_GB2312" w:cs="仿宋_GB2312"/>
                <w:sz w:val="24"/>
                <w:szCs w:val="28"/>
              </w:rPr>
              <w:t>岁；</w:t>
            </w:r>
          </w:p>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2.基础疾病不稳定；</w:t>
            </w:r>
          </w:p>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3.全程接种疫苗。</w:t>
            </w:r>
          </w:p>
        </w:tc>
        <w:tc>
          <w:tcPr>
            <w:tcW w:w="3055" w:type="dxa"/>
            <w:vAlign w:val="center"/>
          </w:tcPr>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1.年龄</w:t>
            </w:r>
            <w:r>
              <w:rPr>
                <w:rFonts w:ascii="仿宋_GB2312" w:hAnsi="仿宋_GB2312" w:cs="仿宋_GB2312"/>
                <w:sz w:val="24"/>
                <w:szCs w:val="28"/>
              </w:rPr>
              <w:t>65</w:t>
            </w:r>
            <w:r>
              <w:rPr>
                <w:rFonts w:hint="eastAsia" w:ascii="仿宋_GB2312" w:hAnsi="仿宋_GB2312" w:eastAsia="仿宋_GB2312" w:cs="仿宋_GB2312"/>
                <w:sz w:val="24"/>
                <w:szCs w:val="28"/>
              </w:rPr>
              <w:t>-80岁；</w:t>
            </w:r>
          </w:p>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2.基础疾病稳定；</w:t>
            </w:r>
          </w:p>
          <w:p>
            <w:pPr>
              <w:adjustRightInd w:val="0"/>
              <w:snapToGrid w:val="0"/>
              <w:spacing w:line="320" w:lineRule="exact"/>
              <w:rPr>
                <w:rFonts w:ascii="仿宋_GB2312" w:hAnsi="仿宋_GB2312" w:eastAsia="仿宋_GB2312" w:cs="仿宋_GB2312"/>
                <w:sz w:val="24"/>
                <w:szCs w:val="28"/>
                <w:lang w:val="en"/>
              </w:rPr>
            </w:pPr>
            <w:r>
              <w:rPr>
                <w:rFonts w:hint="eastAsia" w:ascii="仿宋_GB2312" w:hAnsi="仿宋_GB2312" w:eastAsia="仿宋_GB2312" w:cs="仿宋_GB2312"/>
                <w:sz w:val="24"/>
                <w:szCs w:val="28"/>
              </w:rPr>
              <w:t>3.未全程接种疫苗。</w:t>
            </w:r>
          </w:p>
        </w:tc>
        <w:tc>
          <w:tcPr>
            <w:tcW w:w="2344" w:type="dxa"/>
            <w:vAlign w:val="center"/>
          </w:tcPr>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1.年龄＞80岁；</w:t>
            </w:r>
          </w:p>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2.无基础疾病或基础疾病稳定；</w:t>
            </w:r>
          </w:p>
          <w:p>
            <w:pPr>
              <w:adjustRightInd w:val="0"/>
              <w:snapToGrid w:val="0"/>
              <w:spacing w:line="320" w:lineRule="exact"/>
              <w:rPr>
                <w:rFonts w:ascii="仿宋_GB2312" w:hAnsi="仿宋_GB2312" w:eastAsia="仿宋_GB2312" w:cs="仿宋_GB2312"/>
                <w:sz w:val="24"/>
                <w:szCs w:val="28"/>
                <w:lang w:val="en"/>
              </w:rPr>
            </w:pPr>
            <w:r>
              <w:rPr>
                <w:rFonts w:hint="eastAsia" w:ascii="仿宋_GB2312" w:hAnsi="仿宋_GB2312" w:eastAsia="仿宋_GB2312" w:cs="仿宋_GB2312"/>
                <w:sz w:val="24"/>
                <w:szCs w:val="28"/>
              </w:rPr>
              <w:t>3.全程接种疫苗。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43" w:type="dxa"/>
            <w:vAlign w:val="center"/>
          </w:tcPr>
          <w:p>
            <w:pPr>
              <w:jc w:val="center"/>
              <w:rPr>
                <w:rFonts w:ascii="黑体" w:hAnsi="黑体" w:eastAsia="黑体" w:cs="黑体"/>
                <w:sz w:val="28"/>
                <w:szCs w:val="28"/>
                <w:lang w:val="en"/>
              </w:rPr>
            </w:pPr>
            <w:r>
              <w:rPr>
                <w:rFonts w:hint="eastAsia" w:ascii="黑体" w:hAnsi="黑体" w:eastAsia="黑体" w:cs="黑体"/>
                <w:sz w:val="28"/>
                <w:szCs w:val="28"/>
                <w:lang w:val="en"/>
              </w:rPr>
              <w:t>红色标识</w:t>
            </w:r>
          </w:p>
          <w:p>
            <w:pPr>
              <w:jc w:val="center"/>
              <w:rPr>
                <w:rFonts w:ascii="黑体" w:hAnsi="黑体" w:eastAsia="黑体" w:cs="黑体"/>
                <w:sz w:val="28"/>
                <w:szCs w:val="28"/>
                <w:lang w:val="en"/>
              </w:rPr>
            </w:pPr>
            <w:r>
              <w:rPr>
                <w:rFonts w:hint="eastAsia" w:ascii="黑体" w:hAnsi="黑体" w:eastAsia="黑体" w:cs="黑体"/>
                <w:sz w:val="28"/>
                <w:szCs w:val="28"/>
                <w:lang w:val="en"/>
              </w:rPr>
              <w:t>高风险重点人群</w:t>
            </w:r>
          </w:p>
        </w:tc>
        <w:tc>
          <w:tcPr>
            <w:tcW w:w="2268" w:type="dxa"/>
            <w:vAlign w:val="center"/>
          </w:tcPr>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1.年龄＜</w:t>
            </w:r>
            <w:r>
              <w:rPr>
                <w:rFonts w:ascii="仿宋_GB2312" w:hAnsi="仿宋_GB2312" w:eastAsia="仿宋_GB2312" w:cs="仿宋_GB2312"/>
                <w:sz w:val="24"/>
                <w:szCs w:val="28"/>
              </w:rPr>
              <w:t>65</w:t>
            </w:r>
            <w:r>
              <w:rPr>
                <w:rFonts w:hint="eastAsia" w:ascii="仿宋_GB2312" w:hAnsi="仿宋_GB2312" w:eastAsia="仿宋_GB2312" w:cs="仿宋_GB2312"/>
                <w:sz w:val="24"/>
                <w:szCs w:val="28"/>
              </w:rPr>
              <w:t>岁；</w:t>
            </w:r>
          </w:p>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2.基础疾病不稳定；</w:t>
            </w:r>
          </w:p>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3.未全程接种疫苗。</w:t>
            </w:r>
          </w:p>
        </w:tc>
        <w:tc>
          <w:tcPr>
            <w:tcW w:w="3055" w:type="dxa"/>
            <w:vAlign w:val="center"/>
          </w:tcPr>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1.年龄</w:t>
            </w:r>
            <w:r>
              <w:rPr>
                <w:rFonts w:ascii="仿宋_GB2312" w:hAnsi="仿宋_GB2312" w:eastAsia="仿宋_GB2312" w:cs="仿宋_GB2312"/>
                <w:sz w:val="24"/>
                <w:szCs w:val="28"/>
              </w:rPr>
              <w:t>65</w:t>
            </w:r>
            <w:r>
              <w:rPr>
                <w:rFonts w:hint="eastAsia" w:ascii="仿宋_GB2312" w:hAnsi="仿宋_GB2312" w:eastAsia="仿宋_GB2312" w:cs="仿宋_GB2312"/>
                <w:sz w:val="24"/>
                <w:szCs w:val="28"/>
              </w:rPr>
              <w:t>-80岁；</w:t>
            </w:r>
          </w:p>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2.基础疾病不稳定；</w:t>
            </w:r>
          </w:p>
          <w:p>
            <w:pPr>
              <w:adjustRightInd w:val="0"/>
              <w:snapToGrid w:val="0"/>
              <w:spacing w:line="320" w:lineRule="exact"/>
              <w:rPr>
                <w:rFonts w:ascii="仿宋_GB2312" w:hAnsi="仿宋_GB2312" w:eastAsia="仿宋_GB2312" w:cs="仿宋_GB2312"/>
                <w:sz w:val="24"/>
                <w:szCs w:val="28"/>
                <w:lang w:val="en"/>
              </w:rPr>
            </w:pPr>
            <w:r>
              <w:rPr>
                <w:rFonts w:hint="eastAsia" w:ascii="仿宋_GB2312" w:hAnsi="仿宋_GB2312" w:eastAsia="仿宋_GB2312" w:cs="仿宋_GB2312"/>
                <w:sz w:val="24"/>
                <w:szCs w:val="28"/>
              </w:rPr>
              <w:t>3.无论是否全程接种疫苗。</w:t>
            </w:r>
          </w:p>
        </w:tc>
        <w:tc>
          <w:tcPr>
            <w:tcW w:w="2344" w:type="dxa"/>
            <w:vAlign w:val="center"/>
          </w:tcPr>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1.年龄＞80岁；</w:t>
            </w:r>
          </w:p>
          <w:p>
            <w:pPr>
              <w:adjustRightInd w:val="0"/>
              <w:snapToGrid w:val="0"/>
              <w:spacing w:line="320" w:lineRule="exact"/>
              <w:rPr>
                <w:rFonts w:ascii="仿宋_GB2312" w:hAnsi="仿宋_GB2312" w:eastAsia="仿宋_GB2312" w:cs="仿宋_GB2312"/>
                <w:sz w:val="24"/>
                <w:szCs w:val="28"/>
              </w:rPr>
            </w:pPr>
            <w:r>
              <w:rPr>
                <w:rFonts w:hint="eastAsia" w:ascii="仿宋_GB2312" w:hAnsi="仿宋_GB2312" w:eastAsia="仿宋_GB2312" w:cs="仿宋_GB2312"/>
                <w:sz w:val="24"/>
                <w:szCs w:val="28"/>
              </w:rPr>
              <w:t>2.基础疾病稳定或不稳定；</w:t>
            </w:r>
          </w:p>
          <w:p>
            <w:pPr>
              <w:adjustRightInd w:val="0"/>
              <w:snapToGrid w:val="0"/>
              <w:spacing w:line="320" w:lineRule="exact"/>
              <w:rPr>
                <w:rFonts w:ascii="仿宋_GB2312" w:hAnsi="仿宋_GB2312" w:eastAsia="仿宋_GB2312" w:cs="仿宋_GB2312"/>
                <w:sz w:val="24"/>
                <w:szCs w:val="28"/>
                <w:lang w:val="en"/>
              </w:rPr>
            </w:pPr>
            <w:r>
              <w:rPr>
                <w:rFonts w:hint="eastAsia" w:ascii="仿宋_GB2312" w:hAnsi="仿宋_GB2312" w:eastAsia="仿宋_GB2312" w:cs="仿宋_GB2312"/>
                <w:sz w:val="24"/>
                <w:szCs w:val="28"/>
              </w:rPr>
              <w:t>3.未全程接种疫苗。</w:t>
            </w:r>
          </w:p>
        </w:tc>
      </w:tr>
    </w:tbl>
    <w:p>
      <w:pPr>
        <w:adjustRightInd w:val="0"/>
        <w:snapToGrid w:val="0"/>
        <w:spacing w:line="560" w:lineRule="exact"/>
        <w:ind w:firstLine="640" w:firstLineChars="200"/>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若存在按照上述评估标准进行评估无法分级标识的，可采取下表评分方法进行补充评估，确定健康风险级别。</w:t>
      </w:r>
    </w:p>
    <w:tbl>
      <w:tblPr>
        <w:tblStyle w:val="43"/>
        <w:tblW w:w="9498"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3402"/>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6379" w:type="dxa"/>
            <w:gridSpan w:val="2"/>
            <w:vAlign w:val="center"/>
          </w:tcPr>
          <w:p>
            <w:pPr>
              <w:spacing w:line="400" w:lineRule="exact"/>
              <w:jc w:val="center"/>
              <w:rPr>
                <w:rFonts w:ascii="黑体" w:hAnsi="黑体" w:eastAsia="黑体" w:cs="黑体"/>
                <w:sz w:val="28"/>
                <w:szCs w:val="32"/>
                <w:lang w:val="en"/>
              </w:rPr>
            </w:pPr>
            <w:r>
              <w:rPr>
                <w:rFonts w:hint="eastAsia" w:ascii="黑体" w:hAnsi="黑体" w:eastAsia="黑体" w:cs="黑体"/>
                <w:sz w:val="28"/>
                <w:szCs w:val="32"/>
                <w:lang w:val="en"/>
              </w:rPr>
              <w:t>评估内容</w:t>
            </w:r>
          </w:p>
        </w:tc>
        <w:tc>
          <w:tcPr>
            <w:tcW w:w="3119" w:type="dxa"/>
            <w:vAlign w:val="center"/>
          </w:tcPr>
          <w:p>
            <w:pPr>
              <w:spacing w:line="400" w:lineRule="exact"/>
              <w:jc w:val="center"/>
              <w:rPr>
                <w:rFonts w:ascii="黑体" w:hAnsi="黑体" w:eastAsia="黑体" w:cs="黑体"/>
                <w:sz w:val="28"/>
                <w:szCs w:val="32"/>
                <w:lang w:val="en"/>
              </w:rPr>
            </w:pPr>
            <w:r>
              <w:rPr>
                <w:rFonts w:hint="eastAsia" w:ascii="黑体" w:hAnsi="黑体" w:eastAsia="黑体" w:cs="黑体"/>
                <w:sz w:val="28"/>
                <w:szCs w:val="32"/>
                <w:lang w:val="en"/>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77" w:type="dxa"/>
            <w:vMerge w:val="restart"/>
            <w:vAlign w:val="center"/>
          </w:tcPr>
          <w:p>
            <w:pPr>
              <w:spacing w:line="400" w:lineRule="exact"/>
              <w:jc w:val="center"/>
              <w:rPr>
                <w:rFonts w:ascii="黑体" w:hAnsi="黑体" w:eastAsia="黑体" w:cs="黑体"/>
                <w:sz w:val="28"/>
                <w:szCs w:val="28"/>
                <w:lang w:val="en"/>
              </w:rPr>
            </w:pPr>
            <w:r>
              <w:rPr>
                <w:rFonts w:hint="eastAsia" w:ascii="黑体" w:hAnsi="黑体" w:eastAsia="黑体" w:cs="黑体"/>
                <w:sz w:val="28"/>
                <w:szCs w:val="28"/>
                <w:lang w:val="en"/>
              </w:rPr>
              <w:t>年</w:t>
            </w:r>
            <w:r>
              <w:rPr>
                <w:rFonts w:hint="eastAsia" w:ascii="黑体" w:hAnsi="黑体" w:eastAsia="黑体" w:cs="黑体"/>
                <w:sz w:val="28"/>
                <w:szCs w:val="28"/>
              </w:rPr>
              <w:t xml:space="preserve">  </w:t>
            </w:r>
            <w:r>
              <w:rPr>
                <w:rFonts w:hint="eastAsia" w:ascii="黑体" w:hAnsi="黑体" w:eastAsia="黑体" w:cs="黑体"/>
                <w:sz w:val="28"/>
                <w:szCs w:val="28"/>
                <w:lang w:val="en"/>
              </w:rPr>
              <w:t>龄</w:t>
            </w:r>
          </w:p>
        </w:tc>
        <w:tc>
          <w:tcPr>
            <w:tcW w:w="3402" w:type="dxa"/>
            <w:vAlign w:val="center"/>
          </w:tcPr>
          <w:p>
            <w:pPr>
              <w:adjustRightInd w:val="0"/>
              <w:snapToGrid w:val="0"/>
              <w:spacing w:line="400" w:lineRule="exact"/>
              <w:rPr>
                <w:rFonts w:ascii="仿宋_GB2312" w:hAnsi="黑体" w:eastAsia="仿宋_GB2312" w:cs="黑体"/>
                <w:sz w:val="28"/>
                <w:szCs w:val="28"/>
                <w:lang w:val="en"/>
              </w:rPr>
            </w:pPr>
            <w:r>
              <w:rPr>
                <w:rFonts w:hint="eastAsia" w:ascii="仿宋_GB2312" w:hAnsi="仿宋_GB2312" w:eastAsia="仿宋_GB2312" w:cs="仿宋_GB2312"/>
                <w:sz w:val="28"/>
                <w:szCs w:val="28"/>
              </w:rPr>
              <w:t>＜65岁</w:t>
            </w:r>
          </w:p>
        </w:tc>
        <w:tc>
          <w:tcPr>
            <w:tcW w:w="3119" w:type="dxa"/>
            <w:vAlign w:val="center"/>
          </w:tcPr>
          <w:p>
            <w:pPr>
              <w:adjustRightInd w:val="0"/>
              <w:snapToGrid w:val="0"/>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77" w:type="dxa"/>
            <w:vMerge w:val="continue"/>
            <w:vAlign w:val="center"/>
          </w:tcPr>
          <w:p>
            <w:pPr>
              <w:spacing w:line="400" w:lineRule="exact"/>
              <w:jc w:val="center"/>
              <w:rPr>
                <w:rFonts w:ascii="黑体" w:hAnsi="黑体" w:eastAsia="黑体" w:cs="黑体"/>
                <w:sz w:val="28"/>
                <w:szCs w:val="28"/>
                <w:lang w:val="en"/>
              </w:rPr>
            </w:pPr>
          </w:p>
        </w:tc>
        <w:tc>
          <w:tcPr>
            <w:tcW w:w="3402" w:type="dxa"/>
            <w:vAlign w:val="center"/>
          </w:tcPr>
          <w:p>
            <w:pPr>
              <w:adjustRightInd w:val="0"/>
              <w:snapToGrid w:val="0"/>
              <w:spacing w:line="400" w:lineRule="exact"/>
              <w:rPr>
                <w:rFonts w:ascii="仿宋_GB2312" w:hAnsi="黑体" w:eastAsia="仿宋_GB2312" w:cs="黑体"/>
                <w:sz w:val="28"/>
                <w:szCs w:val="28"/>
                <w:lang w:val="en"/>
              </w:rPr>
            </w:pPr>
            <w:r>
              <w:rPr>
                <w:rFonts w:hint="eastAsia" w:ascii="仿宋_GB2312" w:hAnsi="仿宋_GB2312" w:eastAsia="仿宋_GB2312" w:cs="仿宋_GB2312"/>
                <w:sz w:val="28"/>
                <w:szCs w:val="28"/>
              </w:rPr>
              <w:t>65-80岁</w:t>
            </w:r>
          </w:p>
        </w:tc>
        <w:tc>
          <w:tcPr>
            <w:tcW w:w="3119" w:type="dxa"/>
            <w:vAlign w:val="center"/>
          </w:tcPr>
          <w:p>
            <w:pPr>
              <w:adjustRightInd w:val="0"/>
              <w:snapToGrid w:val="0"/>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77" w:type="dxa"/>
            <w:vMerge w:val="continue"/>
            <w:vAlign w:val="center"/>
          </w:tcPr>
          <w:p>
            <w:pPr>
              <w:spacing w:line="400" w:lineRule="exact"/>
              <w:jc w:val="center"/>
              <w:rPr>
                <w:rFonts w:ascii="黑体" w:hAnsi="黑体" w:eastAsia="黑体" w:cs="黑体"/>
                <w:sz w:val="28"/>
                <w:szCs w:val="28"/>
                <w:lang w:val="en"/>
              </w:rPr>
            </w:pPr>
          </w:p>
        </w:tc>
        <w:tc>
          <w:tcPr>
            <w:tcW w:w="3402" w:type="dxa"/>
            <w:vAlign w:val="center"/>
          </w:tcPr>
          <w:p>
            <w:pPr>
              <w:adjustRightInd w:val="0"/>
              <w:snapToGrid w:val="0"/>
              <w:spacing w:line="400" w:lineRule="exact"/>
              <w:rPr>
                <w:rFonts w:ascii="仿宋_GB2312" w:hAnsi="黑体" w:eastAsia="仿宋_GB2312" w:cs="黑体"/>
                <w:sz w:val="28"/>
                <w:szCs w:val="28"/>
                <w:lang w:val="en"/>
              </w:rPr>
            </w:pPr>
            <w:r>
              <w:rPr>
                <w:rFonts w:hint="eastAsia" w:ascii="仿宋_GB2312" w:hAnsi="仿宋_GB2312" w:eastAsia="仿宋_GB2312" w:cs="仿宋_GB2312"/>
                <w:sz w:val="28"/>
                <w:szCs w:val="28"/>
              </w:rPr>
              <w:t>＞80岁</w:t>
            </w:r>
          </w:p>
        </w:tc>
        <w:tc>
          <w:tcPr>
            <w:tcW w:w="3119" w:type="dxa"/>
            <w:vAlign w:val="center"/>
          </w:tcPr>
          <w:p>
            <w:pPr>
              <w:adjustRightInd w:val="0"/>
              <w:snapToGrid w:val="0"/>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77" w:type="dxa"/>
            <w:vMerge w:val="restart"/>
            <w:vAlign w:val="center"/>
          </w:tcPr>
          <w:p>
            <w:pPr>
              <w:spacing w:line="400" w:lineRule="exact"/>
              <w:jc w:val="center"/>
              <w:rPr>
                <w:rFonts w:ascii="黑体" w:hAnsi="黑体" w:eastAsia="黑体" w:cs="黑体"/>
                <w:sz w:val="28"/>
                <w:szCs w:val="28"/>
                <w:lang w:val="en"/>
              </w:rPr>
            </w:pPr>
            <w:r>
              <w:rPr>
                <w:rFonts w:hint="eastAsia" w:ascii="黑体" w:hAnsi="黑体" w:eastAsia="黑体" w:cs="黑体"/>
                <w:sz w:val="28"/>
                <w:szCs w:val="28"/>
                <w:lang w:val="en"/>
              </w:rPr>
              <w:t>基础疾病</w:t>
            </w:r>
          </w:p>
        </w:tc>
        <w:tc>
          <w:tcPr>
            <w:tcW w:w="3402" w:type="dxa"/>
            <w:vAlign w:val="center"/>
          </w:tcPr>
          <w:p>
            <w:pPr>
              <w:adjustRightInd w:val="0"/>
              <w:snapToGrid w:val="0"/>
              <w:spacing w:line="400" w:lineRule="exact"/>
              <w:rPr>
                <w:rFonts w:ascii="仿宋_GB2312" w:hAnsi="黑体" w:eastAsia="仿宋_GB2312" w:cs="黑体"/>
                <w:sz w:val="28"/>
                <w:szCs w:val="28"/>
                <w:lang w:val="en"/>
              </w:rPr>
            </w:pPr>
            <w:r>
              <w:rPr>
                <w:rFonts w:hint="eastAsia" w:ascii="仿宋_GB2312" w:hAnsi="仿宋_GB2312" w:eastAsia="仿宋_GB2312" w:cs="仿宋_GB2312"/>
                <w:sz w:val="28"/>
                <w:szCs w:val="28"/>
              </w:rPr>
              <w:t>无基础疾病</w:t>
            </w:r>
          </w:p>
        </w:tc>
        <w:tc>
          <w:tcPr>
            <w:tcW w:w="3119" w:type="dxa"/>
            <w:vAlign w:val="center"/>
          </w:tcPr>
          <w:p>
            <w:pPr>
              <w:adjustRightInd w:val="0"/>
              <w:snapToGrid w:val="0"/>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77" w:type="dxa"/>
            <w:vMerge w:val="continue"/>
            <w:vAlign w:val="center"/>
          </w:tcPr>
          <w:p>
            <w:pPr>
              <w:spacing w:line="400" w:lineRule="exact"/>
              <w:jc w:val="center"/>
              <w:rPr>
                <w:rFonts w:ascii="黑体" w:hAnsi="黑体" w:eastAsia="黑体" w:cs="黑体"/>
                <w:sz w:val="28"/>
                <w:szCs w:val="28"/>
                <w:lang w:val="en"/>
              </w:rPr>
            </w:pPr>
          </w:p>
        </w:tc>
        <w:tc>
          <w:tcPr>
            <w:tcW w:w="3402" w:type="dxa"/>
            <w:vAlign w:val="center"/>
          </w:tcPr>
          <w:p>
            <w:pPr>
              <w:adjustRightInd w:val="0"/>
              <w:snapToGrid w:val="0"/>
              <w:spacing w:line="400" w:lineRule="exact"/>
              <w:rPr>
                <w:rFonts w:ascii="仿宋_GB2312" w:hAnsi="黑体" w:eastAsia="仿宋_GB2312" w:cs="黑体"/>
                <w:sz w:val="28"/>
                <w:szCs w:val="28"/>
                <w:lang w:val="en"/>
              </w:rPr>
            </w:pPr>
            <w:r>
              <w:rPr>
                <w:rFonts w:hint="eastAsia" w:ascii="仿宋_GB2312" w:hAnsi="仿宋_GB2312" w:eastAsia="仿宋_GB2312" w:cs="仿宋_GB2312"/>
                <w:sz w:val="28"/>
                <w:szCs w:val="28"/>
              </w:rPr>
              <w:t>基础疾病稳定</w:t>
            </w:r>
          </w:p>
        </w:tc>
        <w:tc>
          <w:tcPr>
            <w:tcW w:w="3119" w:type="dxa"/>
            <w:vAlign w:val="center"/>
          </w:tcPr>
          <w:p>
            <w:pPr>
              <w:adjustRightInd w:val="0"/>
              <w:snapToGrid w:val="0"/>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77" w:type="dxa"/>
            <w:vMerge w:val="continue"/>
            <w:vAlign w:val="center"/>
          </w:tcPr>
          <w:p>
            <w:pPr>
              <w:spacing w:line="400" w:lineRule="exact"/>
              <w:jc w:val="center"/>
              <w:rPr>
                <w:rFonts w:ascii="黑体" w:hAnsi="黑体" w:eastAsia="黑体" w:cs="黑体"/>
                <w:sz w:val="28"/>
                <w:szCs w:val="28"/>
                <w:lang w:val="en"/>
              </w:rPr>
            </w:pPr>
          </w:p>
        </w:tc>
        <w:tc>
          <w:tcPr>
            <w:tcW w:w="3402" w:type="dxa"/>
            <w:vAlign w:val="center"/>
          </w:tcPr>
          <w:p>
            <w:pPr>
              <w:adjustRightInd w:val="0"/>
              <w:snapToGrid w:val="0"/>
              <w:spacing w:line="400" w:lineRule="exact"/>
              <w:rPr>
                <w:rFonts w:ascii="仿宋_GB2312" w:hAnsi="黑体" w:eastAsia="仿宋_GB2312" w:cs="黑体"/>
                <w:sz w:val="28"/>
                <w:szCs w:val="28"/>
                <w:lang w:val="en"/>
              </w:rPr>
            </w:pPr>
            <w:r>
              <w:rPr>
                <w:rFonts w:hint="eastAsia" w:ascii="仿宋_GB2312" w:hAnsi="仿宋_GB2312" w:eastAsia="仿宋_GB2312" w:cs="仿宋_GB2312"/>
                <w:sz w:val="28"/>
                <w:szCs w:val="28"/>
              </w:rPr>
              <w:t>基础疾病不稳定</w:t>
            </w:r>
          </w:p>
        </w:tc>
        <w:tc>
          <w:tcPr>
            <w:tcW w:w="3119" w:type="dxa"/>
            <w:vAlign w:val="center"/>
          </w:tcPr>
          <w:p>
            <w:pPr>
              <w:adjustRightInd w:val="0"/>
              <w:snapToGrid w:val="0"/>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77" w:type="dxa"/>
            <w:vMerge w:val="restart"/>
            <w:vAlign w:val="center"/>
          </w:tcPr>
          <w:p>
            <w:pPr>
              <w:spacing w:line="400" w:lineRule="exact"/>
              <w:jc w:val="center"/>
              <w:rPr>
                <w:rFonts w:ascii="黑体" w:hAnsi="黑体" w:eastAsia="黑体" w:cs="黑体"/>
                <w:sz w:val="28"/>
                <w:szCs w:val="28"/>
                <w:lang w:val="en"/>
              </w:rPr>
            </w:pPr>
            <w:r>
              <w:rPr>
                <w:rFonts w:hint="eastAsia" w:ascii="黑体" w:hAnsi="黑体" w:eastAsia="黑体" w:cs="黑体"/>
                <w:sz w:val="28"/>
                <w:szCs w:val="28"/>
                <w:lang w:val="en"/>
              </w:rPr>
              <w:t>疫苗接种</w:t>
            </w:r>
          </w:p>
        </w:tc>
        <w:tc>
          <w:tcPr>
            <w:tcW w:w="3402" w:type="dxa"/>
            <w:vAlign w:val="center"/>
          </w:tcPr>
          <w:p>
            <w:pPr>
              <w:adjustRightInd w:val="0"/>
              <w:snapToGrid w:val="0"/>
              <w:spacing w:line="400" w:lineRule="exact"/>
              <w:rPr>
                <w:rFonts w:ascii="仿宋_GB2312" w:hAnsi="黑体" w:eastAsia="仿宋_GB2312" w:cs="黑体"/>
                <w:sz w:val="28"/>
                <w:szCs w:val="28"/>
                <w:lang w:val="en"/>
              </w:rPr>
            </w:pPr>
            <w:r>
              <w:rPr>
                <w:rFonts w:hint="eastAsia" w:ascii="仿宋_GB2312" w:hAnsi="仿宋_GB2312" w:eastAsia="仿宋_GB2312" w:cs="仿宋_GB2312"/>
                <w:sz w:val="28"/>
                <w:szCs w:val="28"/>
              </w:rPr>
              <w:t>未接种疫苗</w:t>
            </w:r>
          </w:p>
        </w:tc>
        <w:tc>
          <w:tcPr>
            <w:tcW w:w="3119" w:type="dxa"/>
            <w:vAlign w:val="center"/>
          </w:tcPr>
          <w:p>
            <w:pPr>
              <w:adjustRightInd w:val="0"/>
              <w:snapToGrid w:val="0"/>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77" w:type="dxa"/>
            <w:vMerge w:val="continue"/>
            <w:vAlign w:val="center"/>
          </w:tcPr>
          <w:p>
            <w:pPr>
              <w:spacing w:line="400" w:lineRule="exact"/>
              <w:jc w:val="center"/>
              <w:rPr>
                <w:rFonts w:ascii="黑体" w:hAnsi="黑体" w:eastAsia="黑体" w:cs="黑体"/>
                <w:sz w:val="28"/>
                <w:szCs w:val="28"/>
                <w:lang w:val="en"/>
              </w:rPr>
            </w:pPr>
          </w:p>
        </w:tc>
        <w:tc>
          <w:tcPr>
            <w:tcW w:w="3402" w:type="dxa"/>
            <w:vAlign w:val="center"/>
          </w:tcPr>
          <w:p>
            <w:pPr>
              <w:adjustRightInd w:val="0"/>
              <w:snapToGrid w:val="0"/>
              <w:spacing w:line="400" w:lineRule="exact"/>
              <w:rPr>
                <w:rFonts w:ascii="仿宋_GB2312" w:hAnsi="黑体" w:eastAsia="仿宋_GB2312" w:cs="黑体"/>
                <w:sz w:val="28"/>
                <w:szCs w:val="28"/>
                <w:lang w:val="en"/>
              </w:rPr>
            </w:pPr>
            <w:r>
              <w:rPr>
                <w:rFonts w:hint="eastAsia" w:ascii="仿宋_GB2312" w:hAnsi="仿宋_GB2312" w:eastAsia="仿宋_GB2312" w:cs="仿宋_GB2312"/>
                <w:sz w:val="28"/>
                <w:szCs w:val="28"/>
              </w:rPr>
              <w:t>未全程接种疫苗</w:t>
            </w:r>
          </w:p>
        </w:tc>
        <w:tc>
          <w:tcPr>
            <w:tcW w:w="3119" w:type="dxa"/>
            <w:vAlign w:val="center"/>
          </w:tcPr>
          <w:p>
            <w:pPr>
              <w:adjustRightInd w:val="0"/>
              <w:snapToGrid w:val="0"/>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77" w:type="dxa"/>
            <w:vMerge w:val="continue"/>
            <w:vAlign w:val="center"/>
          </w:tcPr>
          <w:p>
            <w:pPr>
              <w:spacing w:line="400" w:lineRule="exact"/>
              <w:jc w:val="center"/>
              <w:rPr>
                <w:rFonts w:ascii="黑体" w:hAnsi="黑体" w:eastAsia="黑体" w:cs="黑体"/>
                <w:sz w:val="28"/>
                <w:szCs w:val="28"/>
                <w:lang w:val="en"/>
              </w:rPr>
            </w:pPr>
          </w:p>
        </w:tc>
        <w:tc>
          <w:tcPr>
            <w:tcW w:w="3402" w:type="dxa"/>
            <w:vAlign w:val="center"/>
          </w:tcPr>
          <w:p>
            <w:pPr>
              <w:adjustRightInd w:val="0"/>
              <w:snapToGrid w:val="0"/>
              <w:spacing w:line="400" w:lineRule="exact"/>
              <w:rPr>
                <w:rFonts w:ascii="仿宋_GB2312" w:hAnsi="黑体" w:eastAsia="仿宋_GB2312" w:cs="黑体"/>
                <w:sz w:val="28"/>
                <w:szCs w:val="28"/>
              </w:rPr>
            </w:pPr>
            <w:r>
              <w:rPr>
                <w:rFonts w:hint="eastAsia" w:ascii="仿宋_GB2312" w:hAnsi="仿宋_GB2312" w:eastAsia="仿宋_GB2312" w:cs="仿宋_GB2312"/>
                <w:sz w:val="28"/>
                <w:szCs w:val="28"/>
              </w:rPr>
              <w:t>全程接种疫苗</w:t>
            </w:r>
          </w:p>
        </w:tc>
        <w:tc>
          <w:tcPr>
            <w:tcW w:w="3119" w:type="dxa"/>
            <w:vAlign w:val="center"/>
          </w:tcPr>
          <w:p>
            <w:pPr>
              <w:adjustRightInd w:val="0"/>
              <w:snapToGrid w:val="0"/>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379" w:type="dxa"/>
            <w:gridSpan w:val="2"/>
            <w:vAlign w:val="center"/>
          </w:tcPr>
          <w:p>
            <w:pPr>
              <w:spacing w:line="400" w:lineRule="exact"/>
              <w:jc w:val="center"/>
              <w:rPr>
                <w:rFonts w:ascii="黑体" w:hAnsi="黑体" w:eastAsia="黑体" w:cs="黑体"/>
                <w:sz w:val="28"/>
                <w:szCs w:val="28"/>
                <w:lang w:val="en"/>
              </w:rPr>
            </w:pPr>
            <w:r>
              <w:rPr>
                <w:rFonts w:hint="eastAsia" w:ascii="黑体" w:hAnsi="黑体" w:eastAsia="黑体" w:cs="黑体"/>
                <w:sz w:val="28"/>
                <w:szCs w:val="28"/>
                <w:lang w:val="en"/>
              </w:rPr>
              <w:t>绿色标识（低风险一般人群）</w:t>
            </w:r>
          </w:p>
        </w:tc>
        <w:tc>
          <w:tcPr>
            <w:tcW w:w="3119" w:type="dxa"/>
            <w:vAlign w:val="center"/>
          </w:tcPr>
          <w:p>
            <w:pPr>
              <w:adjustRightInd w:val="0"/>
              <w:snapToGrid w:val="0"/>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379" w:type="dxa"/>
            <w:gridSpan w:val="2"/>
            <w:vAlign w:val="center"/>
          </w:tcPr>
          <w:p>
            <w:pPr>
              <w:spacing w:line="400" w:lineRule="exact"/>
              <w:jc w:val="center"/>
              <w:rPr>
                <w:rFonts w:ascii="黑体" w:hAnsi="黑体" w:eastAsia="黑体" w:cs="黑体"/>
                <w:sz w:val="28"/>
                <w:szCs w:val="28"/>
                <w:lang w:val="en"/>
              </w:rPr>
            </w:pPr>
            <w:r>
              <w:rPr>
                <w:rFonts w:hint="eastAsia" w:ascii="黑体" w:hAnsi="黑体" w:eastAsia="黑体" w:cs="黑体"/>
                <w:sz w:val="28"/>
                <w:szCs w:val="28"/>
                <w:lang w:val="en"/>
              </w:rPr>
              <w:t xml:space="preserve">  黄色标识（中风险次重点人群）</w:t>
            </w:r>
          </w:p>
        </w:tc>
        <w:tc>
          <w:tcPr>
            <w:tcW w:w="3119" w:type="dxa"/>
            <w:vAlign w:val="center"/>
          </w:tcPr>
          <w:p>
            <w:pPr>
              <w:adjustRightInd w:val="0"/>
              <w:snapToGrid w:val="0"/>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379" w:type="dxa"/>
            <w:gridSpan w:val="2"/>
            <w:vAlign w:val="center"/>
          </w:tcPr>
          <w:p>
            <w:pPr>
              <w:spacing w:line="400" w:lineRule="exact"/>
              <w:jc w:val="center"/>
              <w:rPr>
                <w:rFonts w:ascii="黑体" w:hAnsi="黑体" w:eastAsia="黑体" w:cs="黑体"/>
                <w:sz w:val="28"/>
                <w:szCs w:val="28"/>
                <w:lang w:val="en"/>
              </w:rPr>
            </w:pPr>
            <w:r>
              <w:rPr>
                <w:rFonts w:hint="eastAsia" w:ascii="黑体" w:hAnsi="黑体" w:eastAsia="黑体" w:cs="黑体"/>
                <w:sz w:val="28"/>
                <w:szCs w:val="28"/>
                <w:lang w:val="en"/>
              </w:rPr>
              <w:t>红色标识（高风险重点人群）</w:t>
            </w:r>
          </w:p>
        </w:tc>
        <w:tc>
          <w:tcPr>
            <w:tcW w:w="3119" w:type="dxa"/>
            <w:vAlign w:val="center"/>
          </w:tcPr>
          <w:p>
            <w:pPr>
              <w:adjustRightInd w:val="0"/>
              <w:snapToGrid w:val="0"/>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4-6</w:t>
            </w:r>
          </w:p>
        </w:tc>
      </w:tr>
    </w:tbl>
    <w:p>
      <w:pPr>
        <w:spacing w:line="600" w:lineRule="exact"/>
        <w:rPr>
          <w:rFonts w:ascii="Calibri" w:hAnsi="Calibri"/>
        </w:rPr>
      </w:pPr>
      <w:r>
        <w:rPr>
          <w:rFonts w:ascii="Calibri" w:hAnsi="Calibri"/>
        </w:rPr>
        <w:br w:type="page"/>
      </w: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优化发热门诊设置与管理工作要求</w:t>
      </w:r>
    </w:p>
    <w:p>
      <w:pPr>
        <w:spacing w:line="560" w:lineRule="exact"/>
        <w:jc w:val="left"/>
        <w:rPr>
          <w:rFonts w:ascii="仿宋_GB2312" w:hAnsi="仿宋_GB2312" w:eastAsia="仿宋_GB2312" w:cs="仿宋_GB2312"/>
          <w:sz w:val="32"/>
          <w:szCs w:val="32"/>
        </w:rPr>
      </w:pPr>
    </w:p>
    <w:p>
      <w:pPr>
        <w:spacing w:line="560" w:lineRule="exact"/>
        <w:ind w:firstLine="640" w:firstLineChars="200"/>
        <w:rPr>
          <w:rFonts w:eastAsia="仿宋_GB2312"/>
          <w:sz w:val="32"/>
          <w:szCs w:val="32"/>
        </w:rPr>
      </w:pPr>
      <w:r>
        <w:rPr>
          <w:rFonts w:eastAsia="仿宋_GB2312"/>
          <w:sz w:val="32"/>
          <w:szCs w:val="32"/>
        </w:rPr>
        <w:t>为贯彻落实《关于进一步优化落实新冠肺炎疫情防控措施的通知》（联防联控机制综发〔2022〕233号），根据《关于做好当前发热门诊有关工作的通知》（联防联控机制医疗发〔2022〕230号）、《关于进一步优化发热患者就诊流程的通知》（联防联控机制医疗发〔2022〕233号）等文件精神，现就我省优化发热门诊设置与管理工作提出以下要求。</w:t>
      </w:r>
    </w:p>
    <w:p>
      <w:pPr>
        <w:spacing w:line="560" w:lineRule="exact"/>
        <w:ind w:firstLine="640" w:firstLineChars="200"/>
        <w:rPr>
          <w:rFonts w:eastAsia="仿宋_GB2312"/>
          <w:sz w:val="32"/>
          <w:szCs w:val="32"/>
        </w:rPr>
      </w:pPr>
      <w:r>
        <w:rPr>
          <w:rFonts w:eastAsia="方正黑体_GBK"/>
          <w:sz w:val="32"/>
          <w:szCs w:val="32"/>
        </w:rPr>
        <w:t>一、确保应设尽设、应开尽开。</w:t>
      </w:r>
      <w:r>
        <w:rPr>
          <w:rFonts w:eastAsia="仿宋_GB2312"/>
          <w:sz w:val="32"/>
          <w:szCs w:val="32"/>
        </w:rPr>
        <w:t>二级及以上医院于2022年12月12日前全部开设发热门诊，不按要求开设的医院作降级或转专科处理。基层医疗卫生机构（社区卫生服务中心、乡镇卫生院）要尽量创造条件开设发热诊室（门诊），尽快扩大覆盖面。发热门诊24小时开诊，未经主管卫生健康行政部门同意不得擅自关闭、停诊。卫生健康行政部门要加强对有关医疗机构的监督检查，一经发现擅自关闭、停诊问题，要立即予以纠正。</w:t>
      </w:r>
    </w:p>
    <w:p>
      <w:pPr>
        <w:spacing w:line="560" w:lineRule="exact"/>
        <w:ind w:firstLine="640"/>
        <w:rPr>
          <w:rFonts w:eastAsia="仿宋_GB2312"/>
          <w:sz w:val="32"/>
          <w:szCs w:val="32"/>
        </w:rPr>
      </w:pPr>
      <w:r>
        <w:rPr>
          <w:rFonts w:eastAsia="方正黑体_GBK"/>
          <w:sz w:val="32"/>
          <w:szCs w:val="32"/>
        </w:rPr>
        <w:t>二、提升发热门诊接诊能力。</w:t>
      </w:r>
      <w:r>
        <w:rPr>
          <w:rFonts w:eastAsia="仿宋_GB2312"/>
          <w:sz w:val="32"/>
          <w:szCs w:val="32"/>
        </w:rPr>
        <w:t>医疗机构要通过扩充区域、增加诊间等对现有发热门诊进行扩容改造，诊室数量三级综合医院（儿童专科医院）不少于8个，二级综合医院（儿童专科医院）不少于6个，并根据就诊人数动态调整，确保不出现就诊人员聚集、排长队。二级及以上综合医院要设置儿童发热诊区，每个县至少设置1个儿童发热门诊。</w:t>
      </w:r>
    </w:p>
    <w:p>
      <w:pPr>
        <w:spacing w:line="560" w:lineRule="exact"/>
        <w:ind w:firstLine="640" w:firstLineChars="200"/>
        <w:rPr>
          <w:rFonts w:eastAsia="仿宋_GB2312"/>
          <w:sz w:val="32"/>
          <w:szCs w:val="32"/>
        </w:rPr>
      </w:pPr>
      <w:r>
        <w:rPr>
          <w:rFonts w:eastAsia="方正黑体_GBK"/>
          <w:sz w:val="32"/>
          <w:szCs w:val="32"/>
        </w:rPr>
        <w:t>三、设置方舱发热门诊。</w:t>
      </w:r>
      <w:r>
        <w:rPr>
          <w:rFonts w:eastAsia="仿宋_GB2312"/>
          <w:sz w:val="32"/>
          <w:szCs w:val="32"/>
        </w:rPr>
        <w:t>各市依托现有方舱医院、亚（准）定点医院，利用现有场地合理布局设置方舱发热门诊，由方舱医院或亚（准）定点医院的托管医院开设、管理。方舱发热门诊设置挂号、收费、候诊区、诊室、治疗室、抢救室、输液观察室、检验及CT检查室、辅助功能检查室、留观室、药房、标本采集室、污物保洁和医疗废物暂存间等，并配备相应的检验类、抢救及生命支持类等医疗设备。</w:t>
      </w:r>
    </w:p>
    <w:p>
      <w:pPr>
        <w:spacing w:line="560" w:lineRule="exact"/>
        <w:ind w:firstLine="640"/>
        <w:rPr>
          <w:rFonts w:eastAsia="仿宋_GB2312"/>
          <w:sz w:val="32"/>
          <w:szCs w:val="32"/>
        </w:rPr>
      </w:pPr>
      <w:r>
        <w:rPr>
          <w:rFonts w:eastAsia="方正黑体_GBK"/>
          <w:sz w:val="32"/>
          <w:szCs w:val="32"/>
        </w:rPr>
        <w:t>四、设置专门发热门诊。</w:t>
      </w:r>
      <w:r>
        <w:rPr>
          <w:rFonts w:eastAsia="仿宋_GB2312"/>
          <w:sz w:val="32"/>
          <w:szCs w:val="32"/>
        </w:rPr>
        <w:t>高校、大型企业等人群密集单位，可依托校医院、职工医院等在学校、企业附近设置发热门诊（诊室）。高校、企业自身医疗力量不足的由属地确定医疗机构托管。</w:t>
      </w:r>
    </w:p>
    <w:p>
      <w:pPr>
        <w:spacing w:line="560" w:lineRule="exact"/>
        <w:ind w:firstLine="640" w:firstLineChars="200"/>
        <w:rPr>
          <w:rFonts w:eastAsia="仿宋_GB2312"/>
          <w:sz w:val="32"/>
          <w:szCs w:val="32"/>
        </w:rPr>
      </w:pPr>
      <w:r>
        <w:rPr>
          <w:rFonts w:eastAsia="方正黑体_GBK"/>
          <w:sz w:val="32"/>
          <w:szCs w:val="32"/>
        </w:rPr>
        <w:t>五、优化发热门诊设置布局。</w:t>
      </w:r>
      <w:r>
        <w:rPr>
          <w:rFonts w:eastAsia="仿宋_GB2312"/>
          <w:sz w:val="32"/>
          <w:szCs w:val="32"/>
        </w:rPr>
        <w:t>发热门诊（诊室）要设置在医疗机构内相对独立的区域，可不再设置“三区两通道”，应通过门窗通风或加装机械通风装置的方式，保障具备通风条件，保持室内空气流通。</w:t>
      </w:r>
    </w:p>
    <w:p>
      <w:pPr>
        <w:spacing w:line="560" w:lineRule="exact"/>
        <w:ind w:firstLine="640" w:firstLineChars="200"/>
        <w:rPr>
          <w:rFonts w:eastAsia="仿宋_GB2312"/>
          <w:sz w:val="32"/>
          <w:szCs w:val="32"/>
        </w:rPr>
      </w:pPr>
      <w:r>
        <w:rPr>
          <w:rFonts w:eastAsia="方正黑体_GBK"/>
          <w:sz w:val="32"/>
          <w:szCs w:val="32"/>
        </w:rPr>
        <w:t>六、强化医务人员和诊室配备。</w:t>
      </w:r>
      <w:r>
        <w:rPr>
          <w:rFonts w:eastAsia="仿宋_GB2312"/>
          <w:sz w:val="32"/>
          <w:szCs w:val="32"/>
        </w:rPr>
        <w:t>医疗机构要尽可能增加发热门诊的医务人员和诊室数量，建立健全动态调整机制，根据每日接诊情况及时调整医务人员和诊室数量。医疗机构应加强发热门诊（诊室）医护人员培训，重点提升新冠肺炎病毒感染患者识别、病情评估和应急处置能力，有效分流患者。发热诊室至少配备1名具有执业医师资格的医师。同时，要加强对全院内科、儿科等相关科室医务人员的培训，确保具备发热门诊接诊能力，能够根据需求随时增派到发热门诊（诊室）出诊。</w:t>
      </w:r>
    </w:p>
    <w:p>
      <w:pPr>
        <w:spacing w:line="560" w:lineRule="exact"/>
        <w:ind w:firstLine="640" w:firstLineChars="200"/>
        <w:rPr>
          <w:rFonts w:eastAsia="仿宋_GB2312"/>
          <w:sz w:val="32"/>
          <w:szCs w:val="32"/>
        </w:rPr>
      </w:pPr>
      <w:r>
        <w:rPr>
          <w:rFonts w:eastAsia="方正黑体_GBK"/>
          <w:sz w:val="32"/>
          <w:szCs w:val="32"/>
        </w:rPr>
        <w:t>七、规范个人防护要求。</w:t>
      </w:r>
      <w:r>
        <w:rPr>
          <w:rFonts w:eastAsia="仿宋_GB2312"/>
          <w:sz w:val="32"/>
          <w:szCs w:val="32"/>
        </w:rPr>
        <w:t>发热门诊（诊室）的各类工作人员要做好个人防护，规范佩戴医用防护口罩（N95）、穿隔离衣、戴手套。同时，要指导患者及其陪同人员在健康条件允许的情况下规范佩戴医用防护口罩。发热门诊附近可设置口罩自动售卖机。</w:t>
      </w:r>
    </w:p>
    <w:p>
      <w:pPr>
        <w:spacing w:line="560" w:lineRule="exact"/>
        <w:ind w:firstLine="640" w:firstLineChars="200"/>
        <w:rPr>
          <w:rFonts w:eastAsia="仿宋_GB2312"/>
          <w:sz w:val="32"/>
          <w:szCs w:val="32"/>
        </w:rPr>
      </w:pPr>
      <w:r>
        <w:rPr>
          <w:rFonts w:eastAsia="方正黑体_GBK"/>
          <w:sz w:val="32"/>
          <w:szCs w:val="32"/>
        </w:rPr>
        <w:t>八、落实首诊负责制。</w:t>
      </w:r>
      <w:r>
        <w:rPr>
          <w:rFonts w:eastAsia="仿宋_GB2312"/>
          <w:sz w:val="32"/>
          <w:szCs w:val="32"/>
        </w:rPr>
        <w:t>对于出现发热、咳嗽等症状的居民，无论是否进行核酸或抗原检测，以及检测结果如何，如居民有就诊需求，均可自行前往医疗机构发热门诊（诊室）就诊。医疗机构对前来就诊的患者不得推诿、拒诊、严格落实发热门诊首诊负责制。</w:t>
      </w:r>
    </w:p>
    <w:p>
      <w:pPr>
        <w:spacing w:line="560" w:lineRule="exact"/>
        <w:ind w:firstLine="640" w:firstLineChars="200"/>
        <w:rPr>
          <w:rFonts w:eastAsia="仿宋_GB2312"/>
          <w:sz w:val="32"/>
          <w:szCs w:val="32"/>
        </w:rPr>
      </w:pPr>
      <w:r>
        <w:rPr>
          <w:rFonts w:eastAsia="方正黑体_GBK"/>
          <w:sz w:val="32"/>
          <w:szCs w:val="32"/>
        </w:rPr>
        <w:t>九、做好分级分类诊疗。</w:t>
      </w:r>
      <w:r>
        <w:rPr>
          <w:rFonts w:eastAsia="仿宋_GB2312"/>
          <w:sz w:val="32"/>
          <w:szCs w:val="32"/>
        </w:rPr>
        <w:t>对发热门诊（诊室）就诊的发热、呼吸道等症状的患者进行抗原检测。对于抗原检测阳性的，如无需住院治疗且符合居家治疗条件的，可在开具药品处方后嘱其回家治疗，不再进行核酸检测；如需住院治疗，还应进行核酸检测，并根据分级分类收治原则予以住院治疗。</w:t>
      </w:r>
    </w:p>
    <w:p>
      <w:pPr>
        <w:spacing w:line="560" w:lineRule="exact"/>
        <w:ind w:firstLine="640" w:firstLineChars="200"/>
        <w:rPr>
          <w:rFonts w:eastAsia="仿宋_GB2312"/>
          <w:sz w:val="32"/>
          <w:szCs w:val="32"/>
        </w:rPr>
      </w:pPr>
      <w:r>
        <w:rPr>
          <w:rFonts w:eastAsia="方正黑体_GBK"/>
          <w:sz w:val="32"/>
          <w:szCs w:val="32"/>
        </w:rPr>
        <w:t>十、加强宣传引导。</w:t>
      </w:r>
      <w:r>
        <w:rPr>
          <w:rFonts w:eastAsia="仿宋_GB2312"/>
          <w:sz w:val="32"/>
          <w:szCs w:val="32"/>
        </w:rPr>
        <w:t>各地要通过多种途径将开放发热门诊的医疗机构名单向社会公布，发布发热门诊地图和就诊联系电话，24小时值班值守。要加强宣传解读，便于广大群众知悉了解有关政策，及时获得医疗服务。不得强制要求居民通过所在社区、街道联系或者通过120急救车转运，不得以任何方式限制、阻拦其自主就诊。应提示居民在就诊过程中，尽量乘坐私家车、不乘坐公共交通工具，点对点直达医疗机构发热门诊，并做好个人防护，最大限度降低交叉感染风险</w:t>
      </w:r>
    </w:p>
    <w:p>
      <w:pPr>
        <w:pStyle w:val="2"/>
        <w:ind w:firstLine="0"/>
      </w:pPr>
      <w:r>
        <w:br w:type="page"/>
      </w:r>
    </w:p>
    <w:p>
      <w:pPr>
        <w:spacing w:line="560" w:lineRule="exact"/>
        <w:jc w:val="center"/>
        <w:rPr>
          <w:rFonts w:ascii="方正小标宋_GBK" w:hAnsi="方正小标宋_GBK" w:eastAsia="方正小标宋_GBK" w:cs="方正小标宋_GBK"/>
          <w:sz w:val="44"/>
          <w:szCs w:val="44"/>
        </w:rPr>
      </w:pP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做好医疗资源准备工作方案</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eastAsia="仿宋_GB2312"/>
          <w:sz w:val="32"/>
          <w:szCs w:val="32"/>
        </w:rPr>
      </w:pPr>
      <w:r>
        <w:rPr>
          <w:rFonts w:eastAsia="仿宋_GB2312"/>
          <w:sz w:val="32"/>
          <w:szCs w:val="32"/>
        </w:rPr>
        <w:t>为贯彻落实党中央、国务院决策部署，更好应对新冠肺炎医疗救治工作，迅速扩充重症医疗资源，降低重症率和病亡率，根据《关于印发做好医疗资源准备工作方案的通知》</w:t>
      </w:r>
      <w:r>
        <w:rPr>
          <w:rFonts w:eastAsia="仿宋_GB2312"/>
          <w:spacing w:val="8"/>
          <w:sz w:val="32"/>
          <w:szCs w:val="32"/>
        </w:rPr>
        <w:t>（联</w:t>
      </w:r>
      <w:r>
        <w:rPr>
          <w:rFonts w:eastAsia="仿宋_GB2312"/>
          <w:spacing w:val="12"/>
          <w:sz w:val="32"/>
          <w:szCs w:val="32"/>
        </w:rPr>
        <w:t>防联控机制综发〔2022〕112号</w:t>
      </w:r>
      <w:r>
        <w:rPr>
          <w:rFonts w:eastAsia="仿宋_GB2312"/>
          <w:spacing w:val="8"/>
          <w:sz w:val="32"/>
          <w:szCs w:val="32"/>
        </w:rPr>
        <w:t>）</w:t>
      </w:r>
      <w:r>
        <w:rPr>
          <w:rFonts w:eastAsia="仿宋_GB2312"/>
          <w:spacing w:val="12"/>
          <w:sz w:val="32"/>
          <w:szCs w:val="32"/>
        </w:rPr>
        <w:t>要求，结合我省实际，</w:t>
      </w:r>
      <w:r>
        <w:rPr>
          <w:rFonts w:eastAsia="仿宋_GB2312"/>
          <w:sz w:val="32"/>
          <w:szCs w:val="32"/>
        </w:rPr>
        <w:t>制定本方案。</w:t>
      </w:r>
    </w:p>
    <w:p>
      <w:pPr>
        <w:spacing w:line="560" w:lineRule="exact"/>
        <w:ind w:firstLine="640" w:firstLineChars="200"/>
        <w:rPr>
          <w:rFonts w:eastAsia="方正黑体_GBK"/>
          <w:sz w:val="32"/>
          <w:szCs w:val="32"/>
        </w:rPr>
      </w:pPr>
      <w:r>
        <w:rPr>
          <w:rFonts w:eastAsia="方正黑体_GBK"/>
          <w:sz w:val="32"/>
          <w:szCs w:val="32"/>
        </w:rPr>
        <w:t>一、强化发热门诊设置管理</w:t>
      </w:r>
    </w:p>
    <w:p>
      <w:pPr>
        <w:spacing w:line="560" w:lineRule="exact"/>
        <w:ind w:firstLine="640" w:firstLineChars="200"/>
        <w:rPr>
          <w:rFonts w:eastAsia="仿宋_GB2312"/>
          <w:sz w:val="32"/>
          <w:szCs w:val="32"/>
        </w:rPr>
      </w:pPr>
      <w:r>
        <w:rPr>
          <w:rFonts w:eastAsia="仿宋_GB2312"/>
          <w:sz w:val="32"/>
          <w:szCs w:val="32"/>
        </w:rPr>
        <w:t>按照《优化发热门诊设置与管理工作要求》（见另文）落实。（完成时间</w:t>
      </w:r>
      <w:r>
        <w:rPr>
          <w:rFonts w:hint="eastAsia" w:eastAsia="仿宋_GB2312"/>
          <w:sz w:val="32"/>
          <w:szCs w:val="32"/>
        </w:rPr>
        <w:t>：</w:t>
      </w:r>
      <w:r>
        <w:rPr>
          <w:rFonts w:eastAsia="仿宋_GB2312"/>
          <w:sz w:val="32"/>
          <w:szCs w:val="32"/>
        </w:rPr>
        <w:t>12月20日前）</w:t>
      </w:r>
    </w:p>
    <w:p>
      <w:pPr>
        <w:spacing w:line="560" w:lineRule="exact"/>
        <w:ind w:firstLine="640" w:firstLineChars="200"/>
        <w:rPr>
          <w:rFonts w:eastAsia="方正黑体_GBK"/>
          <w:sz w:val="32"/>
          <w:szCs w:val="32"/>
        </w:rPr>
      </w:pPr>
      <w:r>
        <w:rPr>
          <w:rFonts w:eastAsia="方正黑体_GBK"/>
          <w:sz w:val="32"/>
          <w:szCs w:val="32"/>
        </w:rPr>
        <w:t>二、加强二级医院重症医疗资源储备</w:t>
      </w:r>
    </w:p>
    <w:p>
      <w:pPr>
        <w:spacing w:line="560" w:lineRule="exact"/>
        <w:ind w:firstLine="640" w:firstLineChars="200"/>
        <w:rPr>
          <w:rFonts w:eastAsia="仿宋_GB2312"/>
          <w:sz w:val="32"/>
          <w:szCs w:val="32"/>
        </w:rPr>
      </w:pPr>
      <w:r>
        <w:rPr>
          <w:rFonts w:eastAsia="仿宋_GB2312"/>
          <w:sz w:val="32"/>
          <w:szCs w:val="32"/>
        </w:rPr>
        <w:t>二级综合医院应当独立设置重症医学科，二级传染病、儿童专科医院应当设置重症监护病房。二级综合医院重症医学科ICU床位数应达到医院实际开放床位总数的2%以上，并设置可转换ICU床位。要按标准建设和改造重症监护单元，确保供电、供氧设施，以及生命监护、抢救治疗设备处功能良好状态，确保各重症监护单元随时可使用，做为三级医院重症医疗资源的有益补充。依托市级重症医学质控中心组织专家对二级医院重症监护单元建设和改造情况进行验收，派出重症医学专家为医院重症医护人员开展专业培训，提升其重症识别、应急处置和综合救治能力。（完成时间：12月30日前）</w:t>
      </w:r>
    </w:p>
    <w:p>
      <w:pPr>
        <w:spacing w:line="560" w:lineRule="exact"/>
        <w:ind w:firstLine="640" w:firstLineChars="200"/>
        <w:rPr>
          <w:rFonts w:eastAsia="方正黑体_GBK"/>
          <w:sz w:val="32"/>
          <w:szCs w:val="32"/>
        </w:rPr>
      </w:pPr>
      <w:r>
        <w:rPr>
          <w:rFonts w:eastAsia="方正黑体_GBK"/>
          <w:sz w:val="32"/>
          <w:szCs w:val="32"/>
        </w:rPr>
        <w:t>三、强化三级医院重症医疗资源准备</w:t>
      </w:r>
    </w:p>
    <w:p>
      <w:pPr>
        <w:spacing w:line="560" w:lineRule="exact"/>
        <w:ind w:firstLine="640" w:firstLineChars="200"/>
        <w:rPr>
          <w:rFonts w:eastAsia="仿宋_GB2312"/>
          <w:sz w:val="32"/>
          <w:szCs w:val="32"/>
        </w:rPr>
      </w:pPr>
      <w:r>
        <w:rPr>
          <w:rFonts w:eastAsia="仿宋_GB2312"/>
          <w:sz w:val="32"/>
          <w:szCs w:val="32"/>
        </w:rPr>
        <w:t>（一）三级综合医院重症医学科ICU床位数应达到医院实际开放床位总数的5%以上，并设置可转换ICU床位。（完成时间：12月30日前）</w:t>
      </w:r>
    </w:p>
    <w:p>
      <w:pPr>
        <w:spacing w:line="560" w:lineRule="exact"/>
        <w:ind w:firstLine="640" w:firstLineChars="200"/>
        <w:rPr>
          <w:rFonts w:eastAsia="仿宋_GB2312"/>
          <w:sz w:val="32"/>
          <w:szCs w:val="32"/>
        </w:rPr>
      </w:pPr>
      <w:r>
        <w:rPr>
          <w:rFonts w:eastAsia="仿宋_GB2312"/>
          <w:sz w:val="32"/>
          <w:szCs w:val="32"/>
        </w:rPr>
        <w:t>（二）确保综合ICU监护单元可随时使用。医院要按照综合ICU标准，加快完成综合ICU监护单元建设和升级改造，并进行逐一检查，确保供电、供氧设施，以及生命监护、抢救治疗设备处于功能良好状态，确保各重症监护单元随时可使用。确保用于感染新冠病毒的各类重症病人治疗的综合ICU床位数量不少于本院实际开放床位总数的4%。（完成时间：12月30日前）</w:t>
      </w:r>
    </w:p>
    <w:p>
      <w:pPr>
        <w:pStyle w:val="2"/>
        <w:ind w:firstLine="640" w:firstLineChars="200"/>
        <w:jc w:val="both"/>
        <w:rPr>
          <w:rFonts w:eastAsia="仿宋_GB2312"/>
          <w:sz w:val="32"/>
          <w:szCs w:val="32"/>
        </w:rPr>
      </w:pPr>
      <w:r>
        <w:rPr>
          <w:rFonts w:eastAsia="仿宋_GB2312"/>
          <w:sz w:val="32"/>
          <w:szCs w:val="32"/>
        </w:rPr>
        <w:t>（三）迅速改造其他专科ICU床位。医院立即启动其他专科重症监护床位扩容改造工作。按照综合ICU标准，对其供电、供氧系统进行改造，配备呼吸机、监护仪等满足综合重症救治需要的监护与治疗设备，确保需要时，随时可投入新冠肺炎重症患者医疗救治。（完成时间：12月30日前）</w:t>
      </w:r>
    </w:p>
    <w:p>
      <w:pPr>
        <w:spacing w:line="560" w:lineRule="exact"/>
        <w:ind w:firstLine="640" w:firstLineChars="200"/>
        <w:rPr>
          <w:rFonts w:eastAsia="仿宋_GB2312"/>
          <w:sz w:val="32"/>
          <w:szCs w:val="32"/>
        </w:rPr>
      </w:pPr>
      <w:r>
        <w:rPr>
          <w:rFonts w:eastAsia="仿宋_GB2312"/>
          <w:sz w:val="32"/>
          <w:szCs w:val="32"/>
        </w:rPr>
        <w:t>（四）储备一批“可转换ICU床位”。医院应当选择适宜的独立院区、病房楼，按照感染防控要求，对其内部病房进行改造，配备满足重症救治设备使用所需的供氧和用电设施，以及呼吸支持、抢救和监护等设备，确保需要时能够在24小时内转化为重症监护单元。“可转换ICU”床位数量不少于本院实际开放床位总数的4%。（完成时间：12月30日前）</w:t>
      </w:r>
    </w:p>
    <w:p>
      <w:pPr>
        <w:spacing w:line="560" w:lineRule="exact"/>
        <w:ind w:firstLine="640" w:firstLineChars="200"/>
        <w:rPr>
          <w:rFonts w:eastAsia="仿宋_GB2312"/>
          <w:sz w:val="32"/>
          <w:szCs w:val="32"/>
        </w:rPr>
      </w:pPr>
      <w:r>
        <w:rPr>
          <w:rFonts w:eastAsia="仿宋_GB2312"/>
          <w:sz w:val="32"/>
          <w:szCs w:val="32"/>
        </w:rPr>
        <w:t>（五）各专科病区设置一定数量重症患者救治床位。医院内各专科在本病区相对独立区域设置缓冲病房。每个病区设置4间缓冲病房，其中2间配备必要的供氧和监护、治疗设备，升级改造成为4张重症患者救治床位。（完成时间：12月30日前）</w:t>
      </w:r>
    </w:p>
    <w:p>
      <w:pPr>
        <w:spacing w:line="560" w:lineRule="exact"/>
        <w:ind w:firstLine="640" w:firstLineChars="200"/>
        <w:rPr>
          <w:rFonts w:eastAsia="方正黑体_GBK"/>
          <w:sz w:val="32"/>
          <w:szCs w:val="32"/>
        </w:rPr>
      </w:pPr>
      <w:r>
        <w:rPr>
          <w:rFonts w:eastAsia="方正黑体_GBK"/>
          <w:sz w:val="32"/>
          <w:szCs w:val="32"/>
        </w:rPr>
        <w:t>四、做好重症医学专业相关医护人员准备和相关医疗设备配备工作</w:t>
      </w:r>
    </w:p>
    <w:p>
      <w:pPr>
        <w:pStyle w:val="2"/>
        <w:ind w:firstLine="640" w:firstLineChars="200"/>
        <w:jc w:val="both"/>
      </w:pPr>
      <w:r>
        <w:rPr>
          <w:rFonts w:eastAsia="仿宋_GB2312"/>
          <w:kern w:val="2"/>
          <w:sz w:val="32"/>
          <w:szCs w:val="32"/>
        </w:rPr>
        <w:t>（一）各地要统筹保障新冠肺炎救治医疗力量，尤其要加强重症医学医护人员准备，立即组织开展重症医师、护士专业培训，省市重症医学质控中心要做好培训组织指导工作。严格按照国家文件附件1-6明确的配置标准和设备清单，抓紧购置配备相关医疗设备。</w:t>
      </w:r>
    </w:p>
    <w:p>
      <w:pPr>
        <w:spacing w:line="560" w:lineRule="exact"/>
        <w:ind w:firstLine="640" w:firstLineChars="200"/>
        <w:rPr>
          <w:rFonts w:eastAsia="仿宋_GB2312"/>
          <w:sz w:val="32"/>
          <w:szCs w:val="32"/>
        </w:rPr>
      </w:pPr>
      <w:r>
        <w:rPr>
          <w:rFonts w:eastAsia="仿宋_GB2312"/>
          <w:sz w:val="32"/>
          <w:szCs w:val="32"/>
        </w:rPr>
        <w:t>（二）合理配备充足重症医护力量。以综合ICU、其他专科ICU和可转化ICU床位总数为基数，配备充足重症医护力量，合理安排班次人员。进入ICU人员配戴N95口罩、穿隔离衣，每班次8-12小时，1张ICU床位配备1名医生和2.5-3名护士。在常规配置医护人员的基础上，增加20%-30%医护人员做为后备力量。（完成时间：12月30日前）</w:t>
      </w:r>
    </w:p>
    <w:p>
      <w:pPr>
        <w:spacing w:line="560" w:lineRule="exact"/>
        <w:ind w:firstLine="640" w:firstLineChars="200"/>
        <w:rPr>
          <w:rFonts w:eastAsia="仿宋_GB2312"/>
          <w:sz w:val="32"/>
          <w:szCs w:val="32"/>
        </w:rPr>
      </w:pPr>
      <w:r>
        <w:rPr>
          <w:rFonts w:eastAsia="仿宋_GB2312"/>
          <w:sz w:val="32"/>
          <w:szCs w:val="32"/>
        </w:rPr>
        <w:t>（三）迅速扩充重症医学医师队伍。一是提升其他专科ICU 医师综合救治能力。对呼吸重症监护室（PCCM）、神经内科监护室（NICU）、心内科监护室（CCU）等专科ICU医师进行综合ICU 相关培训，掌握其他系统疾病重症诊疗理念，迅速提升综合救治能力。二是开展相关专科医师重症医学专业培训。医院要立即组织全体内科、儿科、急诊科医师，进行系统性综合ICU专业培训，能够掌握重症医学治疗理念，熟练使用呼吸机、持续肾脏替代治疗 （CRRT）设备等开展重要器官功能支持，使其具备重症医学临床技术能力，成为重症医学医师队伍补充力量。三是用好规培、专培住院医师。对已轮转ICU的规培、专培医师，进一步培训并提升诊疗服务能力，做为重症医学力量储备。（完成时间：12月20日前）</w:t>
      </w:r>
    </w:p>
    <w:p>
      <w:pPr>
        <w:spacing w:line="560" w:lineRule="exact"/>
        <w:ind w:firstLine="640" w:firstLineChars="200"/>
        <w:rPr>
          <w:rFonts w:eastAsia="仿宋_GB2312"/>
          <w:sz w:val="32"/>
          <w:szCs w:val="32"/>
        </w:rPr>
      </w:pPr>
      <w:r>
        <w:rPr>
          <w:rFonts w:eastAsia="仿宋_GB2312"/>
          <w:sz w:val="32"/>
          <w:szCs w:val="32"/>
        </w:rPr>
        <w:t>（四）开展护理人员重症医学专业培训。医院要立即组织临床各专业护理人员进行重症护理专业培训，能够掌握重症护理理念，熟悉重症患者护理常规，能够基本掌握CRRT等治疗设备操作方法。（完成时间：12月20日前）</w:t>
      </w:r>
    </w:p>
    <w:p>
      <w:pPr>
        <w:spacing w:line="560" w:lineRule="exact"/>
        <w:ind w:firstLine="640" w:firstLineChars="200"/>
        <w:rPr>
          <w:rFonts w:eastAsia="仿宋_GB2312"/>
          <w:sz w:val="32"/>
          <w:szCs w:val="32"/>
        </w:rPr>
      </w:pPr>
      <w:r>
        <w:rPr>
          <w:rFonts w:eastAsia="仿宋_GB2312"/>
          <w:sz w:val="32"/>
          <w:szCs w:val="32"/>
        </w:rPr>
        <w:t>（五）统筹调配重症医护力量。建立混合编组工作模式。综合ICU以重症医学专业医护人员为主要力量。其他专科ICU、可转换ICU建立重症医学专业医护人员和其他专科经培训医护人员混合编组工作模式，每个班次均由重症医学专业医护人员牵头负责，指导其他经培训医护人员共同开展医疗救治工作，确保医疗质量与安全。</w:t>
      </w:r>
    </w:p>
    <w:p>
      <w:pPr>
        <w:pStyle w:val="2"/>
        <w:jc w:val="both"/>
        <w:rPr>
          <w:rFonts w:eastAsia="方正黑体_GBK"/>
          <w:kern w:val="2"/>
          <w:sz w:val="32"/>
          <w:szCs w:val="32"/>
        </w:rPr>
      </w:pPr>
      <w:r>
        <w:rPr>
          <w:rFonts w:eastAsia="方正黑体_GBK"/>
          <w:kern w:val="2"/>
          <w:sz w:val="32"/>
          <w:szCs w:val="32"/>
        </w:rPr>
        <w:t>五、加快推动综合医院独立院区建设</w:t>
      </w:r>
    </w:p>
    <w:p>
      <w:pPr>
        <w:pStyle w:val="2"/>
        <w:jc w:val="both"/>
      </w:pPr>
      <w:r>
        <w:rPr>
          <w:rFonts w:eastAsia="仿宋_GB2312"/>
          <w:kern w:val="2"/>
          <w:sz w:val="32"/>
          <w:szCs w:val="32"/>
        </w:rPr>
        <w:t>二级及以上综合医院应建设独立院区（楼栋），三级综合医院独立院区（楼栋）ICU床位数不低于该院区（楼栋）床位总数的10%，平急结合设置的可转换ICU床位数不低于该院区（楼栋）床位总数的10%；二级综合医院独立院区（楼栋）ICU床位数不低于该院区（楼栋）床位总数的5%，平急结合设置的可转换ICU床位数不低于该院区（楼栋）床位总数的5%。</w:t>
      </w:r>
    </w:p>
    <w:p>
      <w:pPr>
        <w:spacing w:line="560" w:lineRule="exact"/>
        <w:ind w:firstLine="640" w:firstLineChars="200"/>
        <w:rPr>
          <w:rFonts w:eastAsia="方正黑体_GBK"/>
          <w:sz w:val="32"/>
          <w:szCs w:val="32"/>
        </w:rPr>
      </w:pPr>
      <w:r>
        <w:rPr>
          <w:rFonts w:eastAsia="方正黑体_GBK"/>
          <w:sz w:val="32"/>
          <w:szCs w:val="32"/>
        </w:rPr>
        <w:t>六、确保定点医院医疗资源准备</w:t>
      </w:r>
    </w:p>
    <w:p>
      <w:pPr>
        <w:spacing w:line="560" w:lineRule="exact"/>
        <w:ind w:firstLine="640" w:firstLineChars="200"/>
        <w:rPr>
          <w:rFonts w:eastAsia="仿宋_GB2312"/>
          <w:sz w:val="32"/>
          <w:szCs w:val="32"/>
        </w:rPr>
      </w:pPr>
      <w:r>
        <w:rPr>
          <w:rFonts w:eastAsia="仿宋_GB2312"/>
          <w:sz w:val="32"/>
          <w:szCs w:val="32"/>
        </w:rPr>
        <w:t>市级定点医院床位总数不少于1000张，定点医院ICU床位数不低于床位总数的10%，平急结合设置的可转换ICU床位数不低于床位总数的10%，确保需要时各类ICU床位可扩展至床位总数的20%。定点医院要设置独立的手术室、分娩室及新生儿病房、儿科病房、血液透析中心，其中血液透析中心配备至少30台血液透析机。组建多学科（MDT）医疗团队，老龄化程度高的城市定点医院适当增配护理人员，提升综合救治能力。定点医院是三级综合医院分院区或者托管医院的，三级综合医院要承担主体责任，全面负责定点医院管理和综合救治能力保障。（完成时间：12月20日前）</w:t>
      </w:r>
    </w:p>
    <w:p>
      <w:pPr>
        <w:spacing w:line="560" w:lineRule="exact"/>
        <w:ind w:firstLine="640" w:firstLineChars="200"/>
        <w:rPr>
          <w:rFonts w:eastAsia="方正黑体_GBK"/>
          <w:sz w:val="32"/>
          <w:szCs w:val="32"/>
        </w:rPr>
      </w:pPr>
      <w:r>
        <w:rPr>
          <w:rFonts w:eastAsia="方正黑体_GBK"/>
          <w:sz w:val="32"/>
          <w:szCs w:val="32"/>
        </w:rPr>
        <w:t>七、升级改造方舱医院</w:t>
      </w:r>
    </w:p>
    <w:p>
      <w:pPr>
        <w:spacing w:line="560" w:lineRule="exact"/>
        <w:ind w:firstLine="640" w:firstLineChars="200"/>
        <w:rPr>
          <w:rFonts w:eastAsia="仿宋_GB2312"/>
          <w:sz w:val="32"/>
          <w:szCs w:val="32"/>
        </w:rPr>
      </w:pPr>
      <w:r>
        <w:rPr>
          <w:rFonts w:eastAsia="仿宋_GB2312"/>
          <w:sz w:val="32"/>
          <w:szCs w:val="32"/>
        </w:rPr>
        <w:t>各地要按照《新冠肺炎亚(准)定点救治医院设置管理规范（试行）》(联防联控机制综发〔2022〕57号)要求，根据人口规模，将方舱医院、健康驿站等隔离点提标改造为亚（准）定点医院，床位总数不少于5000张，并按照床位总数的10%设置监护床位，确保医疗力量充足。（完成时间：12月30日前）</w:t>
      </w:r>
    </w:p>
    <w:p>
      <w:pPr>
        <w:spacing w:line="560" w:lineRule="exact"/>
        <w:ind w:firstLine="640" w:firstLineChars="200"/>
        <w:rPr>
          <w:rFonts w:eastAsia="方正黑体_GBK"/>
          <w:sz w:val="32"/>
          <w:szCs w:val="32"/>
        </w:rPr>
      </w:pPr>
      <w:r>
        <w:rPr>
          <w:rFonts w:eastAsia="方正黑体_GBK"/>
          <w:sz w:val="32"/>
          <w:szCs w:val="32"/>
        </w:rPr>
        <w:t>八、组织实施</w:t>
      </w:r>
    </w:p>
    <w:p>
      <w:pPr>
        <w:spacing w:line="560" w:lineRule="exact"/>
        <w:ind w:firstLine="640" w:firstLineChars="200"/>
        <w:rPr>
          <w:rFonts w:eastAsia="仿宋_GB2312"/>
          <w:sz w:val="32"/>
          <w:szCs w:val="32"/>
        </w:rPr>
      </w:pPr>
      <w:r>
        <w:rPr>
          <w:rFonts w:eastAsia="方正楷体_GBK"/>
          <w:sz w:val="32"/>
          <w:szCs w:val="32"/>
        </w:rPr>
        <w:t>（一）加强组织领导。</w:t>
      </w:r>
      <w:r>
        <w:rPr>
          <w:rFonts w:eastAsia="仿宋_GB2312"/>
          <w:sz w:val="32"/>
          <w:szCs w:val="32"/>
        </w:rPr>
        <w:t>各市疫情防控领导小组（指挥部）要高度重视疫情医疗救治准备工作，加大投入力度，按照填平补齐原则，迅速完成发热门诊（诊室）、重症医学医疗资源扩容和提质增效工作，务必在12月底前完成各项任务。各市卫生健康行政部门要制定本地区医疗资源扩容建设的具体实施方案报当地疫情防控领导小组（指挥部）。</w:t>
      </w:r>
    </w:p>
    <w:p>
      <w:pPr>
        <w:spacing w:line="560" w:lineRule="exact"/>
        <w:ind w:firstLine="640" w:firstLineChars="200"/>
        <w:rPr>
          <w:rFonts w:eastAsia="仿宋_GB2312"/>
          <w:sz w:val="32"/>
          <w:szCs w:val="32"/>
        </w:rPr>
      </w:pPr>
      <w:r>
        <w:rPr>
          <w:rFonts w:eastAsia="方正楷体_GBK"/>
          <w:sz w:val="32"/>
          <w:szCs w:val="32"/>
        </w:rPr>
        <w:t>（二）应对有力有序。</w:t>
      </w:r>
      <w:r>
        <w:rPr>
          <w:rFonts w:eastAsia="仿宋_GB2312"/>
          <w:sz w:val="32"/>
          <w:szCs w:val="32"/>
        </w:rPr>
        <w:t>各市卫生健康行政部门要统筹规划、合理布局区域重症医疗资源，指导医疗机构加强医疗资源准备，提升重症医学医疗服务能力。要摸清本区域内重症医学医疗资源底数，形成统筹调度方案，做到心中有数、反应迅速、组织有序、应对有力。各市疫情防控领导小组（指挥部）要加强对医务人员关心关爱，采取多种方式建立医务人员激励机制，通过多渠道加大宣传力度，引导社会科学、理性认识病毒和疾病，理性就医，构建和谐医患关系和有序就医秩序。</w:t>
      </w:r>
    </w:p>
    <w:p>
      <w:pPr>
        <w:spacing w:line="560" w:lineRule="exact"/>
        <w:ind w:firstLine="640" w:firstLineChars="200"/>
        <w:rPr>
          <w:rFonts w:eastAsia="仿宋_GB2312"/>
          <w:sz w:val="32"/>
          <w:szCs w:val="32"/>
        </w:rPr>
      </w:pPr>
      <w:r>
        <w:rPr>
          <w:rFonts w:eastAsia="方正楷体_GBK"/>
          <w:sz w:val="32"/>
          <w:szCs w:val="32"/>
        </w:rPr>
        <w:t>（三）强化指挥调度。</w:t>
      </w:r>
      <w:r>
        <w:rPr>
          <w:rFonts w:eastAsia="仿宋_GB2312"/>
          <w:sz w:val="32"/>
          <w:szCs w:val="32"/>
        </w:rPr>
        <w:t>各市卫生健康行政部门要对辖区内 医疗资源准备工作加强指导，及时掌握工作进展，督促按时保质完成医疗资源准备任务。国家卫健委将建立医疗救治资源调度和定期通报制度，每周进行全国医疗救治资源线上调度，将重症医疗资源建设和改造进展情况定期通报各省指挥部。适时组织督导检查，对任务落实不到位、工作进展缓慢的地方进行通报。</w:t>
      </w:r>
    </w:p>
    <w:p>
      <w:pPr>
        <w:spacing w:line="560" w:lineRule="exact"/>
        <w:ind w:firstLine="640" w:firstLineChars="200"/>
        <w:rPr>
          <w:rFonts w:eastAsia="仿宋_GB2312"/>
          <w:sz w:val="32"/>
          <w:szCs w:val="32"/>
        </w:rPr>
      </w:pPr>
      <w:r>
        <w:rPr>
          <w:rFonts w:eastAsia="方正楷体_GBK"/>
          <w:sz w:val="32"/>
          <w:szCs w:val="32"/>
        </w:rPr>
        <w:t>（四）制定具体实施方案。</w:t>
      </w:r>
      <w:r>
        <w:rPr>
          <w:rFonts w:eastAsia="仿宋_GB2312"/>
          <w:sz w:val="32"/>
          <w:szCs w:val="32"/>
        </w:rPr>
        <w:t>各市要制定本地区医疗资源扩容建设的具体实施方案，明确工作任务，落实资金保障，务必在12月底前完成各项任务。各市具体实施方案于12月15日前报省疫防办。</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附件：1.综合ICU设备配置标准</w:t>
      </w:r>
    </w:p>
    <w:p>
      <w:pPr>
        <w:spacing w:line="560" w:lineRule="exact"/>
        <w:ind w:firstLine="1600" w:firstLineChars="5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2.呼吸内科ICU转化为综合ICU增加设备清单 </w:t>
      </w:r>
    </w:p>
    <w:p>
      <w:pPr>
        <w:spacing w:line="560" w:lineRule="exact"/>
        <w:ind w:firstLine="1600" w:firstLineChars="500"/>
        <w:rPr>
          <w:rFonts w:ascii="仿宋_GB2312" w:hAnsi="仿宋_GB2312" w:eastAsia="仿宋_GB2312" w:cs="仿宋_GB2312"/>
          <w:sz w:val="32"/>
          <w:szCs w:val="32"/>
        </w:rPr>
      </w:pPr>
      <w:r>
        <w:rPr>
          <w:rFonts w:hint="eastAsia" w:ascii="仿宋_GB2312" w:hAnsi="仿宋_GB2312" w:eastAsia="仿宋_GB2312" w:cs="仿宋_GB2312"/>
          <w:sz w:val="32"/>
          <w:szCs w:val="32"/>
        </w:rPr>
        <w:t>3. 肾脏内科ICU转化为综合ICU增加设备清单</w:t>
      </w:r>
    </w:p>
    <w:p>
      <w:pPr>
        <w:spacing w:line="560" w:lineRule="exact"/>
        <w:ind w:firstLine="1600" w:firstLineChars="500"/>
        <w:rPr>
          <w:rFonts w:ascii="仿宋_GB2312" w:hAnsi="仿宋_GB2312" w:eastAsia="仿宋_GB2312" w:cs="仿宋_GB2312"/>
          <w:sz w:val="32"/>
          <w:szCs w:val="32"/>
        </w:rPr>
      </w:pPr>
      <w:r>
        <w:rPr>
          <w:rFonts w:hint="eastAsia" w:ascii="仿宋_GB2312" w:hAnsi="仿宋_GB2312" w:eastAsia="仿宋_GB2312" w:cs="仿宋_GB2312"/>
          <w:sz w:val="32"/>
          <w:szCs w:val="32"/>
        </w:rPr>
        <w:t>4.心内科ICU转化为综合ICU增加设备清单</w:t>
      </w:r>
    </w:p>
    <w:p>
      <w:pPr>
        <w:spacing w:line="560" w:lineRule="exact"/>
        <w:ind w:firstLine="1600" w:firstLineChars="500"/>
        <w:rPr>
          <w:rFonts w:ascii="仿宋_GB2312" w:hAnsi="仿宋_GB2312" w:eastAsia="仿宋_GB2312" w:cs="仿宋_GB2312"/>
          <w:sz w:val="32"/>
          <w:szCs w:val="32"/>
        </w:rPr>
      </w:pPr>
      <w:r>
        <w:rPr>
          <w:rFonts w:hint="eastAsia" w:ascii="仿宋_GB2312" w:hAnsi="仿宋_GB2312" w:eastAsia="仿宋_GB2312" w:cs="仿宋_GB2312"/>
          <w:sz w:val="32"/>
          <w:szCs w:val="32"/>
        </w:rPr>
        <w:t>5.可转化床位设备配置标准</w:t>
      </w:r>
    </w:p>
    <w:p>
      <w:pPr>
        <w:spacing w:line="560" w:lineRule="exact"/>
        <w:ind w:firstLine="1600" w:firstLineChars="500"/>
        <w:rPr>
          <w:rFonts w:ascii="仿宋_GB2312" w:hAnsi="仿宋_GB2312" w:eastAsia="仿宋_GB2312" w:cs="仿宋_GB2312"/>
          <w:sz w:val="32"/>
          <w:szCs w:val="32"/>
        </w:rPr>
      </w:pPr>
      <w:r>
        <w:rPr>
          <w:rFonts w:hint="eastAsia" w:ascii="仿宋_GB2312" w:hAnsi="仿宋_GB2312" w:eastAsia="仿宋_GB2312" w:cs="仿宋_GB2312"/>
          <w:sz w:val="32"/>
          <w:szCs w:val="32"/>
        </w:rPr>
        <w:t>6.缓冲病房监护设备配置标准</w:t>
      </w:r>
    </w:p>
    <w:p>
      <w:pPr>
        <w:spacing w:line="560" w:lineRule="exact"/>
        <w:ind w:firstLine="1600" w:firstLineChars="500"/>
        <w:rPr>
          <w:rFonts w:ascii="仿宋_GB2312" w:hAnsi="仿宋_GB2312" w:eastAsia="仿宋_GB2312" w:cs="仿宋_GB2312"/>
          <w:sz w:val="32"/>
          <w:szCs w:val="32"/>
        </w:rPr>
      </w:pPr>
      <w:r>
        <w:rPr>
          <w:rFonts w:hint="eastAsia" w:ascii="仿宋_GB2312" w:hAnsi="仿宋_GB2312" w:eastAsia="仿宋_GB2312" w:cs="仿宋_GB2312"/>
          <w:sz w:val="32"/>
          <w:szCs w:val="32"/>
        </w:rPr>
        <w:t>7.各市需要配置亚定点医院数量汇总表</w:t>
      </w:r>
    </w:p>
    <w:p>
      <w:pPr>
        <w:spacing w:before="302" w:line="560" w:lineRule="exact"/>
        <w:rPr>
          <w:rFonts w:ascii="方正黑体_GBK" w:hAnsi="方正黑体_GBK" w:eastAsia="方正黑体_GBK" w:cs="方正黑体_GBK"/>
          <w:spacing w:val="26"/>
          <w:sz w:val="32"/>
          <w:szCs w:val="32"/>
        </w:rPr>
      </w:pPr>
    </w:p>
    <w:p>
      <w:pPr>
        <w:spacing w:before="302" w:line="560" w:lineRule="exact"/>
        <w:rPr>
          <w:rFonts w:ascii="方正黑体_GBK" w:hAnsi="方正黑体_GBK" w:eastAsia="方正黑体_GBK" w:cs="方正黑体_GBK"/>
          <w:spacing w:val="26"/>
          <w:sz w:val="32"/>
          <w:szCs w:val="32"/>
        </w:rPr>
      </w:pPr>
      <w:r>
        <w:rPr>
          <w:rFonts w:ascii="方正黑体_GBK" w:hAnsi="方正黑体_GBK" w:eastAsia="方正黑体_GBK" w:cs="方正黑体_GBK"/>
          <w:spacing w:val="26"/>
          <w:sz w:val="32"/>
          <w:szCs w:val="32"/>
        </w:rPr>
        <w:br w:type="page"/>
      </w:r>
    </w:p>
    <w:p>
      <w:pPr>
        <w:spacing w:before="302"/>
        <w:rPr>
          <w:rFonts w:ascii="方正黑体_GBK" w:hAnsi="方正黑体_GBK" w:eastAsia="方正黑体_GBK" w:cs="方正黑体_GBK"/>
          <w:sz w:val="32"/>
          <w:szCs w:val="32"/>
        </w:rPr>
      </w:pPr>
      <w:r>
        <w:rPr>
          <w:rFonts w:hint="eastAsia" w:ascii="方正黑体_GBK" w:hAnsi="方正黑体_GBK" w:eastAsia="方正黑体_GBK" w:cs="方正黑体_GBK"/>
          <w:spacing w:val="26"/>
          <w:sz w:val="32"/>
          <w:szCs w:val="32"/>
        </w:rPr>
        <w:t>附件1</w:t>
      </w:r>
    </w:p>
    <w:p>
      <w:pPr>
        <w:spacing w:line="560" w:lineRule="exact"/>
        <w:jc w:val="center"/>
        <w:rPr>
          <w:rFonts w:ascii="方正小标宋简体" w:hAnsi="仿宋_GB2312" w:eastAsia="方正小标宋简体" w:cs="仿宋_GB2312"/>
          <w:bCs/>
          <w:spacing w:val="4"/>
          <w:sz w:val="36"/>
          <w:szCs w:val="32"/>
        </w:rPr>
      </w:pPr>
      <w:r>
        <w:rPr>
          <w:rFonts w:hint="eastAsia" w:ascii="方正小标宋简体" w:hAnsi="仿宋_GB2312" w:eastAsia="方正小标宋简体" w:cs="仿宋_GB2312"/>
          <w:bCs/>
          <w:spacing w:val="4"/>
          <w:sz w:val="36"/>
          <w:szCs w:val="32"/>
        </w:rPr>
        <w:t>综合ICU设备配置标准</w:t>
      </w:r>
    </w:p>
    <w:p>
      <w:pPr>
        <w:spacing w:line="560" w:lineRule="exact"/>
        <w:ind w:left="1804"/>
        <w:rPr>
          <w:rFonts w:ascii="仿宋_GB2312" w:hAnsi="仿宋_GB2312" w:eastAsia="仿宋_GB2312" w:cs="仿宋_GB2312"/>
          <w:sz w:val="32"/>
          <w:szCs w:val="32"/>
        </w:rPr>
      </w:pPr>
      <w:r>
        <w:rPr>
          <w:rFonts w:hint="eastAsia" w:ascii="仿宋_GB2312" w:hAnsi="仿宋_GB2312" w:eastAsia="仿宋_GB2312" w:cs="仿宋_GB2312"/>
          <w:b/>
          <w:bCs/>
          <w:spacing w:val="4"/>
          <w:sz w:val="32"/>
          <w:szCs w:val="32"/>
        </w:rPr>
        <w:t>(每10张床位需要的设备建议清单)</w:t>
      </w:r>
    </w:p>
    <w:tbl>
      <w:tblPr>
        <w:tblStyle w:val="16"/>
        <w:tblW w:w="7892"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6"/>
        <w:gridCol w:w="639"/>
        <w:gridCol w:w="3306"/>
        <w:gridCol w:w="1358"/>
        <w:gridCol w:w="1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286" w:type="dxa"/>
            <w:shd w:val="clear" w:color="auto" w:fill="auto"/>
          </w:tcPr>
          <w:p>
            <w:pPr>
              <w:spacing w:before="131" w:line="219" w:lineRule="auto"/>
              <w:ind w:left="48"/>
              <w:jc w:val="center"/>
              <w:rPr>
                <w:rFonts w:ascii="仿宋_GB2312" w:hAnsi="仿宋_GB2312" w:eastAsia="仿宋_GB2312" w:cs="仿宋_GB2312"/>
                <w:sz w:val="24"/>
              </w:rPr>
            </w:pPr>
            <w:r>
              <w:rPr>
                <w:rFonts w:hint="eastAsia" w:ascii="仿宋_GB2312" w:hAnsi="仿宋_GB2312" w:eastAsia="仿宋_GB2312" w:cs="仿宋_GB2312"/>
                <w:b/>
                <w:bCs/>
                <w:spacing w:val="-1"/>
                <w:sz w:val="24"/>
              </w:rPr>
              <w:t>设备类型</w:t>
            </w:r>
          </w:p>
        </w:tc>
        <w:tc>
          <w:tcPr>
            <w:tcW w:w="639" w:type="dxa"/>
            <w:shd w:val="clear" w:color="auto" w:fill="auto"/>
          </w:tcPr>
          <w:p>
            <w:pPr>
              <w:spacing w:before="135" w:line="221" w:lineRule="auto"/>
              <w:ind w:left="91"/>
              <w:rPr>
                <w:rFonts w:ascii="仿宋_GB2312" w:hAnsi="仿宋_GB2312" w:eastAsia="仿宋_GB2312" w:cs="仿宋_GB2312"/>
                <w:b/>
                <w:bCs/>
                <w:sz w:val="24"/>
              </w:rPr>
            </w:pPr>
            <w:r>
              <w:rPr>
                <w:rFonts w:hint="eastAsia" w:ascii="仿宋_GB2312" w:hAnsi="仿宋_GB2312" w:eastAsia="仿宋_GB2312" w:cs="仿宋_GB2312"/>
                <w:b/>
                <w:bCs/>
                <w:spacing w:val="6"/>
                <w:sz w:val="24"/>
              </w:rPr>
              <w:t>序号</w:t>
            </w:r>
          </w:p>
        </w:tc>
        <w:tc>
          <w:tcPr>
            <w:tcW w:w="3306" w:type="dxa"/>
            <w:shd w:val="clear" w:color="auto" w:fill="auto"/>
          </w:tcPr>
          <w:p>
            <w:pPr>
              <w:spacing w:before="135" w:line="221" w:lineRule="auto"/>
              <w:ind w:left="1262"/>
              <w:rPr>
                <w:rFonts w:ascii="仿宋_GB2312" w:hAnsi="仿宋_GB2312" w:eastAsia="仿宋_GB2312" w:cs="仿宋_GB2312"/>
                <w:b/>
                <w:bCs/>
                <w:sz w:val="24"/>
              </w:rPr>
            </w:pPr>
            <w:r>
              <w:rPr>
                <w:rFonts w:hint="eastAsia" w:ascii="仿宋_GB2312" w:hAnsi="仿宋_GB2312" w:eastAsia="仿宋_GB2312" w:cs="仿宋_GB2312"/>
                <w:b/>
                <w:bCs/>
                <w:spacing w:val="2"/>
                <w:sz w:val="24"/>
              </w:rPr>
              <w:t>设备名称</w:t>
            </w:r>
          </w:p>
        </w:tc>
        <w:tc>
          <w:tcPr>
            <w:tcW w:w="1358" w:type="dxa"/>
            <w:shd w:val="clear" w:color="auto" w:fill="auto"/>
          </w:tcPr>
          <w:p>
            <w:pPr>
              <w:spacing w:before="134" w:line="220" w:lineRule="auto"/>
              <w:ind w:left="456"/>
              <w:rPr>
                <w:rFonts w:ascii="仿宋_GB2312" w:hAnsi="仿宋_GB2312" w:eastAsia="仿宋_GB2312" w:cs="仿宋_GB2312"/>
                <w:b/>
                <w:bCs/>
                <w:sz w:val="24"/>
              </w:rPr>
            </w:pPr>
            <w:r>
              <w:rPr>
                <w:rFonts w:hint="eastAsia" w:ascii="仿宋_GB2312" w:hAnsi="仿宋_GB2312" w:eastAsia="仿宋_GB2312" w:cs="仿宋_GB2312"/>
                <w:b/>
                <w:bCs/>
                <w:spacing w:val="-3"/>
                <w:sz w:val="24"/>
              </w:rPr>
              <w:t>单位</w:t>
            </w:r>
          </w:p>
        </w:tc>
        <w:tc>
          <w:tcPr>
            <w:tcW w:w="1303" w:type="dxa"/>
            <w:shd w:val="clear" w:color="auto" w:fill="auto"/>
          </w:tcPr>
          <w:p>
            <w:pPr>
              <w:spacing w:before="131" w:line="219" w:lineRule="auto"/>
              <w:ind w:left="431"/>
              <w:rPr>
                <w:rFonts w:ascii="仿宋_GB2312" w:hAnsi="仿宋_GB2312" w:eastAsia="仿宋_GB2312" w:cs="仿宋_GB2312"/>
                <w:sz w:val="24"/>
              </w:rPr>
            </w:pPr>
            <w:r>
              <w:rPr>
                <w:rFonts w:hint="eastAsia" w:ascii="仿宋_GB2312" w:hAnsi="仿宋_GB2312" w:eastAsia="仿宋_GB2312" w:cs="仿宋_GB2312"/>
                <w:b/>
                <w:bCs/>
                <w:spacing w:val="-5"/>
                <w:sz w:val="24"/>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286" w:type="dxa"/>
            <w:vMerge w:val="restart"/>
            <w:tcBorders>
              <w:bottom w:val="nil"/>
            </w:tcBorders>
            <w:shd w:val="clear" w:color="auto" w:fill="auto"/>
          </w:tcPr>
          <w:p>
            <w:pPr>
              <w:spacing w:line="270" w:lineRule="auto"/>
              <w:rPr>
                <w:rFonts w:ascii="仿宋_GB2312" w:hAnsi="仿宋_GB2312" w:eastAsia="仿宋_GB2312" w:cs="仿宋_GB2312"/>
                <w:b/>
                <w:bCs/>
                <w:sz w:val="24"/>
              </w:rPr>
            </w:pPr>
          </w:p>
          <w:p>
            <w:pPr>
              <w:pStyle w:val="2"/>
            </w:pPr>
          </w:p>
          <w:p>
            <w:pPr>
              <w:pStyle w:val="2"/>
            </w:pPr>
          </w:p>
          <w:p>
            <w:pPr>
              <w:pStyle w:val="2"/>
            </w:pPr>
          </w:p>
          <w:p>
            <w:pPr>
              <w:spacing w:before="71" w:line="225" w:lineRule="auto"/>
              <w:ind w:left="268"/>
              <w:rPr>
                <w:rFonts w:ascii="仿宋_GB2312" w:hAnsi="仿宋_GB2312" w:eastAsia="仿宋_GB2312" w:cs="仿宋_GB2312"/>
                <w:b/>
                <w:bCs/>
                <w:sz w:val="24"/>
              </w:rPr>
            </w:pPr>
            <w:r>
              <w:rPr>
                <w:rFonts w:hint="eastAsia" w:ascii="仿宋_GB2312" w:hAnsi="仿宋_GB2312" w:eastAsia="仿宋_GB2312" w:cs="仿宋_GB2312"/>
                <w:b/>
                <w:bCs/>
                <w:spacing w:val="-5"/>
                <w:sz w:val="24"/>
              </w:rPr>
              <w:t>基础</w:t>
            </w:r>
          </w:p>
          <w:p>
            <w:pPr>
              <w:spacing w:line="220"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5"/>
                <w:sz w:val="24"/>
              </w:rPr>
              <w:t>设备</w:t>
            </w:r>
          </w:p>
        </w:tc>
        <w:tc>
          <w:tcPr>
            <w:tcW w:w="639" w:type="dxa"/>
            <w:shd w:val="clear" w:color="auto" w:fill="auto"/>
          </w:tcPr>
          <w:p>
            <w:pPr>
              <w:spacing w:before="105" w:line="174" w:lineRule="exact"/>
              <w:ind w:left="250"/>
              <w:rPr>
                <w:rFonts w:ascii="仿宋_GB2312" w:hAnsi="仿宋_GB2312" w:eastAsia="仿宋_GB2312" w:cs="仿宋_GB2312"/>
                <w:sz w:val="24"/>
              </w:rPr>
            </w:pPr>
            <w:r>
              <w:rPr>
                <w:rFonts w:hint="eastAsia" w:ascii="仿宋_GB2312" w:hAnsi="仿宋_GB2312" w:eastAsia="仿宋_GB2312" w:cs="仿宋_GB2312"/>
                <w:position w:val="-3"/>
                <w:sz w:val="24"/>
              </w:rPr>
              <w:t>1</w:t>
            </w:r>
          </w:p>
        </w:tc>
        <w:tc>
          <w:tcPr>
            <w:tcW w:w="3306" w:type="dxa"/>
            <w:shd w:val="clear" w:color="auto" w:fill="auto"/>
          </w:tcPr>
          <w:p>
            <w:pPr>
              <w:spacing w:before="31" w:line="208" w:lineRule="auto"/>
              <w:ind w:left="101"/>
              <w:rPr>
                <w:rFonts w:ascii="仿宋_GB2312" w:hAnsi="仿宋_GB2312" w:eastAsia="仿宋_GB2312" w:cs="仿宋_GB2312"/>
                <w:sz w:val="24"/>
              </w:rPr>
            </w:pPr>
            <w:r>
              <w:rPr>
                <w:rFonts w:hint="eastAsia" w:ascii="仿宋_GB2312" w:hAnsi="仿宋_GB2312" w:eastAsia="仿宋_GB2312" w:cs="仿宋_GB2312"/>
                <w:spacing w:val="4"/>
                <w:sz w:val="24"/>
              </w:rPr>
              <w:t>吊塔</w:t>
            </w:r>
          </w:p>
        </w:tc>
        <w:tc>
          <w:tcPr>
            <w:tcW w:w="1358" w:type="dxa"/>
            <w:shd w:val="clear" w:color="auto" w:fill="auto"/>
          </w:tcPr>
          <w:p>
            <w:pPr>
              <w:spacing w:before="40" w:line="200"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25" w:line="154" w:lineRule="exact"/>
              <w:ind w:left="538"/>
              <w:rPr>
                <w:rFonts w:ascii="仿宋_GB2312" w:hAnsi="仿宋_GB2312" w:eastAsia="仿宋_GB2312" w:cs="仿宋_GB2312"/>
                <w:sz w:val="24"/>
              </w:rPr>
            </w:pPr>
            <w:r>
              <w:rPr>
                <w:rFonts w:hint="eastAsia" w:ascii="仿宋_GB2312" w:hAnsi="仿宋_GB2312" w:eastAsia="仿宋_GB2312" w:cs="仿宋_GB2312"/>
                <w:spacing w:val="-4"/>
                <w:position w:val="-3"/>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88" w:line="161" w:lineRule="auto"/>
              <w:ind w:left="250"/>
              <w:rPr>
                <w:rFonts w:ascii="仿宋_GB2312" w:hAnsi="仿宋_GB2312" w:eastAsia="仿宋_GB2312" w:cs="仿宋_GB2312"/>
                <w:sz w:val="24"/>
              </w:rPr>
            </w:pPr>
            <w:r>
              <w:rPr>
                <w:rFonts w:hint="eastAsia" w:ascii="仿宋_GB2312" w:hAnsi="仿宋_GB2312" w:eastAsia="仿宋_GB2312" w:cs="仿宋_GB2312"/>
                <w:sz w:val="24"/>
              </w:rPr>
              <w:t>2</w:t>
            </w:r>
          </w:p>
        </w:tc>
        <w:tc>
          <w:tcPr>
            <w:tcW w:w="3306" w:type="dxa"/>
            <w:shd w:val="clear" w:color="auto" w:fill="auto"/>
          </w:tcPr>
          <w:p>
            <w:pPr>
              <w:spacing w:before="30" w:line="209"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电动病床</w:t>
            </w:r>
          </w:p>
        </w:tc>
        <w:tc>
          <w:tcPr>
            <w:tcW w:w="1358" w:type="dxa"/>
            <w:shd w:val="clear" w:color="auto" w:fill="auto"/>
          </w:tcPr>
          <w:p>
            <w:pPr>
              <w:spacing w:before="73" w:line="191" w:lineRule="auto"/>
              <w:ind w:left="566"/>
              <w:rPr>
                <w:rFonts w:ascii="仿宋_GB2312" w:hAnsi="仿宋_GB2312" w:eastAsia="仿宋_GB2312" w:cs="仿宋_GB2312"/>
                <w:sz w:val="24"/>
              </w:rPr>
            </w:pPr>
            <w:r>
              <w:rPr>
                <w:rFonts w:hint="eastAsia" w:ascii="仿宋_GB2312" w:hAnsi="仿宋_GB2312" w:eastAsia="仿宋_GB2312" w:cs="仿宋_GB2312"/>
                <w:sz w:val="24"/>
              </w:rPr>
              <w:t>台</w:t>
            </w:r>
          </w:p>
        </w:tc>
        <w:tc>
          <w:tcPr>
            <w:tcW w:w="1303" w:type="dxa"/>
            <w:shd w:val="clear" w:color="auto" w:fill="auto"/>
          </w:tcPr>
          <w:p>
            <w:pPr>
              <w:spacing w:before="116" w:line="163" w:lineRule="exact"/>
              <w:ind w:left="538"/>
              <w:rPr>
                <w:rFonts w:ascii="仿宋_GB2312" w:hAnsi="仿宋_GB2312" w:eastAsia="仿宋_GB2312" w:cs="仿宋_GB2312"/>
                <w:sz w:val="24"/>
              </w:rPr>
            </w:pPr>
            <w:r>
              <w:rPr>
                <w:rFonts w:hint="eastAsia" w:ascii="仿宋_GB2312" w:hAnsi="仿宋_GB2312" w:eastAsia="仿宋_GB2312" w:cs="仿宋_GB2312"/>
                <w:spacing w:val="-7"/>
                <w:position w:val="-3"/>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107" w:line="182" w:lineRule="exact"/>
              <w:ind w:left="250"/>
              <w:rPr>
                <w:rFonts w:ascii="仿宋_GB2312" w:hAnsi="仿宋_GB2312" w:eastAsia="仿宋_GB2312" w:cs="仿宋_GB2312"/>
                <w:sz w:val="24"/>
              </w:rPr>
            </w:pPr>
            <w:r>
              <w:rPr>
                <w:rFonts w:hint="eastAsia" w:ascii="仿宋_GB2312" w:hAnsi="仿宋_GB2312" w:eastAsia="仿宋_GB2312" w:cs="仿宋_GB2312"/>
                <w:position w:val="-2"/>
                <w:sz w:val="24"/>
              </w:rPr>
              <w:t>3</w:t>
            </w:r>
          </w:p>
        </w:tc>
        <w:tc>
          <w:tcPr>
            <w:tcW w:w="3306" w:type="dxa"/>
            <w:shd w:val="clear" w:color="auto" w:fill="auto"/>
          </w:tcPr>
          <w:p>
            <w:pPr>
              <w:spacing w:before="50" w:line="200"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床旁监护仪</w:t>
            </w:r>
          </w:p>
        </w:tc>
        <w:tc>
          <w:tcPr>
            <w:tcW w:w="1358" w:type="dxa"/>
            <w:shd w:val="clear" w:color="auto" w:fill="auto"/>
          </w:tcPr>
          <w:p>
            <w:pPr>
              <w:spacing w:before="51" w:line="199"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36" w:line="153" w:lineRule="exact"/>
              <w:ind w:left="538"/>
              <w:rPr>
                <w:rFonts w:ascii="仿宋_GB2312" w:hAnsi="仿宋_GB2312" w:eastAsia="仿宋_GB2312" w:cs="仿宋_GB2312"/>
                <w:sz w:val="24"/>
              </w:rPr>
            </w:pPr>
            <w:r>
              <w:rPr>
                <w:rFonts w:hint="eastAsia" w:ascii="仿宋_GB2312" w:hAnsi="仿宋_GB2312" w:eastAsia="仿宋_GB2312" w:cs="仿宋_GB2312"/>
                <w:spacing w:val="-4"/>
                <w:position w:val="-3"/>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88" w:line="160" w:lineRule="auto"/>
              <w:ind w:left="250"/>
              <w:rPr>
                <w:rFonts w:ascii="仿宋_GB2312" w:hAnsi="仿宋_GB2312" w:eastAsia="仿宋_GB2312" w:cs="仿宋_GB2312"/>
                <w:sz w:val="24"/>
              </w:rPr>
            </w:pPr>
            <w:r>
              <w:rPr>
                <w:rFonts w:hint="eastAsia" w:ascii="仿宋_GB2312" w:hAnsi="仿宋_GB2312" w:eastAsia="仿宋_GB2312" w:cs="仿宋_GB2312"/>
                <w:sz w:val="24"/>
              </w:rPr>
              <w:t>4</w:t>
            </w:r>
          </w:p>
        </w:tc>
        <w:tc>
          <w:tcPr>
            <w:tcW w:w="3306" w:type="dxa"/>
            <w:shd w:val="clear" w:color="auto" w:fill="auto"/>
          </w:tcPr>
          <w:p>
            <w:pPr>
              <w:spacing w:before="35" w:line="204"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加压袋</w:t>
            </w:r>
          </w:p>
        </w:tc>
        <w:tc>
          <w:tcPr>
            <w:tcW w:w="1358" w:type="dxa"/>
            <w:shd w:val="clear" w:color="auto" w:fill="auto"/>
          </w:tcPr>
          <w:p>
            <w:pPr>
              <w:spacing w:before="35" w:line="204" w:lineRule="auto"/>
              <w:ind w:left="566"/>
              <w:rPr>
                <w:rFonts w:ascii="仿宋_GB2312" w:hAnsi="仿宋_GB2312" w:eastAsia="仿宋_GB2312" w:cs="仿宋_GB2312"/>
                <w:sz w:val="24"/>
              </w:rPr>
            </w:pPr>
            <w:r>
              <w:rPr>
                <w:rFonts w:hint="eastAsia" w:ascii="仿宋_GB2312" w:hAnsi="仿宋_GB2312" w:eastAsia="仿宋_GB2312" w:cs="仿宋_GB2312"/>
                <w:sz w:val="24"/>
              </w:rPr>
              <w:t>只</w:t>
            </w:r>
          </w:p>
        </w:tc>
        <w:tc>
          <w:tcPr>
            <w:tcW w:w="1303" w:type="dxa"/>
            <w:shd w:val="clear" w:color="auto" w:fill="auto"/>
          </w:tcPr>
          <w:p>
            <w:pPr>
              <w:spacing w:before="88" w:line="160" w:lineRule="auto"/>
              <w:ind w:left="538"/>
              <w:rPr>
                <w:rFonts w:ascii="仿宋_GB2312" w:hAnsi="仿宋_GB2312" w:eastAsia="仿宋_GB2312" w:cs="仿宋_GB2312"/>
                <w:sz w:val="24"/>
              </w:rPr>
            </w:pPr>
            <w:r>
              <w:rPr>
                <w:rFonts w:hint="eastAsia" w:ascii="仿宋_GB2312" w:hAnsi="仿宋_GB2312" w:eastAsia="仿宋_GB2312" w:cs="仿宋_GB2312"/>
                <w:spacing w:val="-7"/>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131" w:line="182" w:lineRule="auto"/>
              <w:ind w:left="250"/>
              <w:rPr>
                <w:rFonts w:ascii="仿宋_GB2312" w:hAnsi="仿宋_GB2312" w:eastAsia="仿宋_GB2312" w:cs="仿宋_GB2312"/>
                <w:sz w:val="24"/>
              </w:rPr>
            </w:pPr>
            <w:r>
              <w:rPr>
                <w:rFonts w:hint="eastAsia" w:ascii="仿宋_GB2312" w:hAnsi="仿宋_GB2312" w:eastAsia="仿宋_GB2312" w:cs="仿宋_GB2312"/>
                <w:sz w:val="24"/>
              </w:rPr>
              <w:t>5</w:t>
            </w:r>
          </w:p>
        </w:tc>
        <w:tc>
          <w:tcPr>
            <w:tcW w:w="3306" w:type="dxa"/>
            <w:shd w:val="clear" w:color="auto" w:fill="auto"/>
          </w:tcPr>
          <w:p>
            <w:pPr>
              <w:spacing w:before="71" w:line="219"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精密注射泵</w:t>
            </w:r>
          </w:p>
        </w:tc>
        <w:tc>
          <w:tcPr>
            <w:tcW w:w="1358" w:type="dxa"/>
            <w:shd w:val="clear" w:color="auto" w:fill="auto"/>
          </w:tcPr>
          <w:p>
            <w:pPr>
              <w:spacing w:before="76" w:line="221" w:lineRule="auto"/>
              <w:ind w:left="566"/>
              <w:rPr>
                <w:rFonts w:ascii="仿宋_GB2312" w:hAnsi="仿宋_GB2312" w:eastAsia="仿宋_GB2312" w:cs="仿宋_GB2312"/>
                <w:sz w:val="24"/>
              </w:rPr>
            </w:pPr>
            <w:r>
              <w:rPr>
                <w:rFonts w:hint="eastAsia" w:ascii="仿宋_GB2312" w:hAnsi="仿宋_GB2312" w:eastAsia="仿宋_GB2312" w:cs="仿宋_GB2312"/>
                <w:sz w:val="24"/>
              </w:rPr>
              <w:t>台</w:t>
            </w:r>
          </w:p>
        </w:tc>
        <w:tc>
          <w:tcPr>
            <w:tcW w:w="1303" w:type="dxa"/>
            <w:shd w:val="clear" w:color="auto" w:fill="auto"/>
          </w:tcPr>
          <w:p>
            <w:pPr>
              <w:spacing w:before="129" w:line="183" w:lineRule="auto"/>
              <w:ind w:left="368"/>
              <w:rPr>
                <w:rFonts w:ascii="仿宋_GB2312" w:hAnsi="仿宋_GB2312" w:eastAsia="仿宋_GB2312" w:cs="仿宋_GB2312"/>
                <w:sz w:val="24"/>
              </w:rPr>
            </w:pPr>
            <w:r>
              <w:rPr>
                <w:rFonts w:hint="eastAsia" w:ascii="仿宋_GB2312" w:hAnsi="仿宋_GB2312" w:eastAsia="仿宋_GB2312" w:cs="仿宋_GB2312"/>
                <w:spacing w:val="-3"/>
                <w:sz w:val="24"/>
              </w:rPr>
              <w:t>30-40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119" w:line="161" w:lineRule="exact"/>
              <w:ind w:left="250"/>
              <w:rPr>
                <w:rFonts w:ascii="仿宋_GB2312" w:hAnsi="仿宋_GB2312" w:eastAsia="仿宋_GB2312" w:cs="仿宋_GB2312"/>
                <w:sz w:val="24"/>
              </w:rPr>
            </w:pPr>
            <w:r>
              <w:rPr>
                <w:rFonts w:hint="eastAsia" w:ascii="仿宋_GB2312" w:hAnsi="仿宋_GB2312" w:eastAsia="仿宋_GB2312" w:cs="仿宋_GB2312"/>
                <w:position w:val="-3"/>
                <w:sz w:val="24"/>
              </w:rPr>
              <w:t>6</w:t>
            </w:r>
          </w:p>
        </w:tc>
        <w:tc>
          <w:tcPr>
            <w:tcW w:w="3306" w:type="dxa"/>
            <w:shd w:val="clear" w:color="auto" w:fill="auto"/>
          </w:tcPr>
          <w:p>
            <w:pPr>
              <w:spacing w:before="41" w:line="200" w:lineRule="auto"/>
              <w:ind w:left="101"/>
              <w:rPr>
                <w:rFonts w:ascii="仿宋_GB2312" w:hAnsi="仿宋_GB2312" w:eastAsia="仿宋_GB2312" w:cs="仿宋_GB2312"/>
                <w:sz w:val="24"/>
              </w:rPr>
            </w:pPr>
            <w:r>
              <w:rPr>
                <w:rFonts w:hint="eastAsia" w:ascii="仿宋_GB2312" w:hAnsi="仿宋_GB2312" w:eastAsia="仿宋_GB2312" w:cs="仿宋_GB2312"/>
                <w:spacing w:val="-3"/>
                <w:sz w:val="24"/>
              </w:rPr>
              <w:t>血气机</w:t>
            </w:r>
          </w:p>
        </w:tc>
        <w:tc>
          <w:tcPr>
            <w:tcW w:w="1358" w:type="dxa"/>
            <w:shd w:val="clear" w:color="auto" w:fill="auto"/>
          </w:tcPr>
          <w:p>
            <w:pPr>
              <w:spacing w:before="44" w:line="198"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18" w:line="162"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1" w:line="157" w:lineRule="auto"/>
              <w:ind w:left="250"/>
              <w:rPr>
                <w:rFonts w:ascii="仿宋_GB2312" w:hAnsi="仿宋_GB2312" w:eastAsia="仿宋_GB2312" w:cs="仿宋_GB2312"/>
                <w:sz w:val="24"/>
              </w:rPr>
            </w:pPr>
            <w:r>
              <w:rPr>
                <w:rFonts w:hint="eastAsia" w:ascii="仿宋_GB2312" w:hAnsi="仿宋_GB2312" w:eastAsia="仿宋_GB2312" w:cs="仿宋_GB2312"/>
                <w:sz w:val="24"/>
              </w:rPr>
              <w:t>7</w:t>
            </w:r>
          </w:p>
        </w:tc>
        <w:tc>
          <w:tcPr>
            <w:tcW w:w="3306" w:type="dxa"/>
            <w:shd w:val="clear" w:color="auto" w:fill="auto"/>
          </w:tcPr>
          <w:p>
            <w:pPr>
              <w:spacing w:before="32" w:line="207"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心电图机</w:t>
            </w:r>
          </w:p>
        </w:tc>
        <w:tc>
          <w:tcPr>
            <w:tcW w:w="1358" w:type="dxa"/>
            <w:shd w:val="clear" w:color="auto" w:fill="auto"/>
          </w:tcPr>
          <w:p>
            <w:pPr>
              <w:spacing w:before="73" w:line="190" w:lineRule="auto"/>
              <w:ind w:left="566"/>
              <w:rPr>
                <w:rFonts w:ascii="仿宋_GB2312" w:hAnsi="仿宋_GB2312" w:eastAsia="仿宋_GB2312" w:cs="仿宋_GB2312"/>
                <w:sz w:val="24"/>
              </w:rPr>
            </w:pPr>
            <w:r>
              <w:rPr>
                <w:rFonts w:hint="eastAsia" w:ascii="仿宋_GB2312" w:hAnsi="仿宋_GB2312" w:eastAsia="仿宋_GB2312" w:cs="仿宋_GB2312"/>
                <w:spacing w:val="10"/>
                <w:sz w:val="24"/>
              </w:rPr>
              <w:t>套</w:t>
            </w:r>
          </w:p>
        </w:tc>
        <w:tc>
          <w:tcPr>
            <w:tcW w:w="1303" w:type="dxa"/>
            <w:shd w:val="clear" w:color="auto" w:fill="auto"/>
          </w:tcPr>
          <w:p>
            <w:pPr>
              <w:spacing w:before="89" w:line="159" w:lineRule="auto"/>
              <w:ind w:left="588"/>
              <w:rPr>
                <w:rFonts w:ascii="仿宋_GB2312" w:hAnsi="仿宋_GB2312" w:eastAsia="仿宋_GB2312" w:cs="仿宋_GB2312"/>
                <w:sz w:val="24"/>
              </w:rPr>
            </w:pPr>
            <w:r>
              <w:rPr>
                <w:rFonts w:hint="eastAsia" w:ascii="仿宋_GB2312" w:hAnsi="仿宋_GB2312" w:eastAsia="仿宋_GB2312" w:cs="仿宋_GB2312"/>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0" w:line="180" w:lineRule="exact"/>
              <w:ind w:left="250"/>
              <w:rPr>
                <w:rFonts w:ascii="仿宋_GB2312" w:hAnsi="仿宋_GB2312" w:eastAsia="仿宋_GB2312" w:cs="仿宋_GB2312"/>
                <w:sz w:val="24"/>
              </w:rPr>
            </w:pPr>
            <w:r>
              <w:rPr>
                <w:rFonts w:hint="eastAsia" w:ascii="仿宋_GB2312" w:hAnsi="仿宋_GB2312" w:eastAsia="仿宋_GB2312" w:cs="仿宋_GB2312"/>
                <w:position w:val="-2"/>
                <w:sz w:val="24"/>
              </w:rPr>
              <w:t>8</w:t>
            </w:r>
          </w:p>
        </w:tc>
        <w:tc>
          <w:tcPr>
            <w:tcW w:w="3306" w:type="dxa"/>
            <w:shd w:val="clear" w:color="auto" w:fill="auto"/>
          </w:tcPr>
          <w:p>
            <w:pPr>
              <w:spacing w:before="35" w:line="197" w:lineRule="auto"/>
              <w:ind w:left="101"/>
              <w:rPr>
                <w:rFonts w:ascii="仿宋_GB2312" w:hAnsi="仿宋_GB2312" w:eastAsia="仿宋_GB2312" w:cs="仿宋_GB2312"/>
                <w:sz w:val="24"/>
              </w:rPr>
            </w:pPr>
            <w:r>
              <w:rPr>
                <w:rFonts w:hint="eastAsia" w:ascii="仿宋_GB2312" w:hAnsi="仿宋_GB2312" w:eastAsia="仿宋_GB2312" w:cs="仿宋_GB2312"/>
                <w:spacing w:val="-3"/>
                <w:sz w:val="24"/>
              </w:rPr>
              <w:t>彩超</w:t>
            </w:r>
          </w:p>
        </w:tc>
        <w:tc>
          <w:tcPr>
            <w:tcW w:w="1358" w:type="dxa"/>
            <w:shd w:val="clear" w:color="auto" w:fill="auto"/>
          </w:tcPr>
          <w:p>
            <w:pPr>
              <w:spacing w:before="36" w:line="196" w:lineRule="auto"/>
              <w:ind w:left="566"/>
              <w:rPr>
                <w:rFonts w:ascii="仿宋_GB2312" w:hAnsi="仿宋_GB2312" w:eastAsia="仿宋_GB2312" w:cs="仿宋_GB2312"/>
                <w:sz w:val="24"/>
              </w:rPr>
            </w:pPr>
            <w:r>
              <w:rPr>
                <w:rFonts w:hint="eastAsia" w:ascii="仿宋_GB2312" w:hAnsi="仿宋_GB2312" w:eastAsia="仿宋_GB2312" w:cs="仿宋_GB2312"/>
                <w:sz w:val="24"/>
              </w:rPr>
              <w:t>台</w:t>
            </w:r>
          </w:p>
        </w:tc>
        <w:tc>
          <w:tcPr>
            <w:tcW w:w="1303" w:type="dxa"/>
            <w:shd w:val="clear" w:color="auto" w:fill="auto"/>
          </w:tcPr>
          <w:p>
            <w:pPr>
              <w:spacing w:before="89" w:line="181" w:lineRule="exact"/>
              <w:ind w:left="588"/>
              <w:rPr>
                <w:rFonts w:ascii="仿宋_GB2312" w:hAnsi="仿宋_GB2312" w:eastAsia="仿宋_GB2312" w:cs="仿宋_GB2312"/>
                <w:sz w:val="24"/>
              </w:rPr>
            </w:pPr>
            <w:r>
              <w:rPr>
                <w:rFonts w:hint="eastAsia" w:ascii="仿宋_GB2312" w:hAnsi="仿宋_GB2312" w:eastAsia="仿宋_GB2312" w:cs="仿宋_GB2312"/>
                <w:position w:val="-2"/>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0" w:line="159" w:lineRule="auto"/>
              <w:ind w:left="250"/>
              <w:rPr>
                <w:rFonts w:ascii="仿宋_GB2312" w:hAnsi="仿宋_GB2312" w:eastAsia="仿宋_GB2312" w:cs="仿宋_GB2312"/>
                <w:sz w:val="24"/>
              </w:rPr>
            </w:pPr>
            <w:r>
              <w:rPr>
                <w:rFonts w:hint="eastAsia" w:ascii="仿宋_GB2312" w:hAnsi="仿宋_GB2312" w:eastAsia="仿宋_GB2312" w:cs="仿宋_GB2312"/>
                <w:sz w:val="24"/>
              </w:rPr>
              <w:t>9</w:t>
            </w:r>
          </w:p>
        </w:tc>
        <w:tc>
          <w:tcPr>
            <w:tcW w:w="3306" w:type="dxa"/>
            <w:shd w:val="clear" w:color="auto" w:fill="auto"/>
          </w:tcPr>
          <w:p>
            <w:pPr>
              <w:spacing w:before="33" w:line="207" w:lineRule="auto"/>
              <w:ind w:left="101"/>
              <w:rPr>
                <w:rFonts w:ascii="仿宋_GB2312" w:hAnsi="仿宋_GB2312" w:eastAsia="仿宋_GB2312" w:cs="仿宋_GB2312"/>
                <w:sz w:val="24"/>
              </w:rPr>
            </w:pPr>
            <w:r>
              <w:rPr>
                <w:rFonts w:hint="eastAsia" w:ascii="仿宋_GB2312" w:hAnsi="仿宋_GB2312" w:eastAsia="仿宋_GB2312" w:cs="仿宋_GB2312"/>
                <w:spacing w:val="1"/>
                <w:sz w:val="24"/>
              </w:rPr>
              <w:t>简易呼吸球囊</w:t>
            </w:r>
          </w:p>
        </w:tc>
        <w:tc>
          <w:tcPr>
            <w:tcW w:w="1358" w:type="dxa"/>
            <w:shd w:val="clear" w:color="auto" w:fill="auto"/>
          </w:tcPr>
          <w:p>
            <w:pPr>
              <w:spacing w:before="47" w:line="195" w:lineRule="auto"/>
              <w:ind w:left="566"/>
              <w:rPr>
                <w:rFonts w:ascii="仿宋_GB2312" w:hAnsi="仿宋_GB2312" w:eastAsia="仿宋_GB2312" w:cs="仿宋_GB2312"/>
                <w:sz w:val="24"/>
              </w:rPr>
            </w:pPr>
            <w:r>
              <w:rPr>
                <w:rFonts w:hint="eastAsia" w:ascii="仿宋_GB2312" w:hAnsi="仿宋_GB2312" w:eastAsia="仿宋_GB2312" w:cs="仿宋_GB2312"/>
                <w:sz w:val="24"/>
              </w:rPr>
              <w:t>只</w:t>
            </w:r>
          </w:p>
        </w:tc>
        <w:tc>
          <w:tcPr>
            <w:tcW w:w="1303" w:type="dxa"/>
            <w:shd w:val="clear" w:color="auto" w:fill="auto"/>
          </w:tcPr>
          <w:p>
            <w:pPr>
              <w:spacing w:before="129" w:line="151" w:lineRule="exact"/>
              <w:ind w:left="538"/>
              <w:rPr>
                <w:rFonts w:ascii="仿宋_GB2312" w:hAnsi="仿宋_GB2312" w:eastAsia="仿宋_GB2312" w:cs="仿宋_GB2312"/>
                <w:sz w:val="24"/>
              </w:rPr>
            </w:pPr>
            <w:r>
              <w:rPr>
                <w:rFonts w:hint="eastAsia" w:ascii="仿宋_GB2312" w:hAnsi="仿宋_GB2312" w:eastAsia="仿宋_GB2312" w:cs="仿宋_GB2312"/>
                <w:spacing w:val="-4"/>
                <w:position w:val="-3"/>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0" w:line="159" w:lineRule="auto"/>
              <w:ind w:left="201"/>
              <w:rPr>
                <w:rFonts w:ascii="仿宋_GB2312" w:hAnsi="仿宋_GB2312" w:eastAsia="仿宋_GB2312" w:cs="仿宋_GB2312"/>
                <w:sz w:val="24"/>
              </w:rPr>
            </w:pPr>
            <w:r>
              <w:rPr>
                <w:rFonts w:hint="eastAsia" w:ascii="仿宋_GB2312" w:hAnsi="仿宋_GB2312" w:eastAsia="仿宋_GB2312" w:cs="仿宋_GB2312"/>
                <w:spacing w:val="-7"/>
                <w:sz w:val="24"/>
              </w:rPr>
              <w:t>10</w:t>
            </w:r>
          </w:p>
        </w:tc>
        <w:tc>
          <w:tcPr>
            <w:tcW w:w="3306" w:type="dxa"/>
            <w:shd w:val="clear" w:color="auto" w:fill="auto"/>
          </w:tcPr>
          <w:p>
            <w:pPr>
              <w:spacing w:before="35" w:line="205" w:lineRule="auto"/>
              <w:ind w:left="101"/>
              <w:rPr>
                <w:rFonts w:ascii="仿宋_GB2312" w:hAnsi="仿宋_GB2312" w:eastAsia="仿宋_GB2312" w:cs="仿宋_GB2312"/>
                <w:sz w:val="24"/>
              </w:rPr>
            </w:pPr>
            <w:r>
              <w:rPr>
                <w:rFonts w:hint="eastAsia" w:ascii="仿宋_GB2312" w:hAnsi="仿宋_GB2312" w:eastAsia="仿宋_GB2312" w:cs="仿宋_GB2312"/>
                <w:spacing w:val="-3"/>
                <w:sz w:val="24"/>
              </w:rPr>
              <w:t>雾化器</w:t>
            </w:r>
          </w:p>
        </w:tc>
        <w:tc>
          <w:tcPr>
            <w:tcW w:w="1358" w:type="dxa"/>
            <w:shd w:val="clear" w:color="auto" w:fill="auto"/>
          </w:tcPr>
          <w:p>
            <w:pPr>
              <w:spacing w:before="45" w:line="197"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20" w:line="160"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9" w:line="159" w:lineRule="auto"/>
              <w:ind w:left="201"/>
              <w:rPr>
                <w:rFonts w:ascii="仿宋_GB2312" w:hAnsi="仿宋_GB2312" w:eastAsia="仿宋_GB2312" w:cs="仿宋_GB2312"/>
                <w:sz w:val="24"/>
              </w:rPr>
            </w:pPr>
            <w:r>
              <w:rPr>
                <w:rFonts w:hint="eastAsia" w:ascii="仿宋_GB2312" w:hAnsi="仿宋_GB2312" w:eastAsia="仿宋_GB2312" w:cs="仿宋_GB2312"/>
                <w:spacing w:val="-7"/>
                <w:sz w:val="24"/>
              </w:rPr>
              <w:t>11</w:t>
            </w:r>
          </w:p>
        </w:tc>
        <w:tc>
          <w:tcPr>
            <w:tcW w:w="3306" w:type="dxa"/>
            <w:shd w:val="clear" w:color="auto" w:fill="auto"/>
          </w:tcPr>
          <w:p>
            <w:pPr>
              <w:spacing w:before="43" w:line="206"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排痰机</w:t>
            </w:r>
          </w:p>
        </w:tc>
        <w:tc>
          <w:tcPr>
            <w:tcW w:w="1358" w:type="dxa"/>
            <w:shd w:val="clear" w:color="auto" w:fill="auto"/>
          </w:tcPr>
          <w:p>
            <w:pPr>
              <w:spacing w:before="56" w:line="195" w:lineRule="auto"/>
              <w:ind w:left="566"/>
              <w:rPr>
                <w:rFonts w:ascii="仿宋_GB2312" w:hAnsi="仿宋_GB2312" w:eastAsia="仿宋_GB2312" w:cs="仿宋_GB2312"/>
                <w:sz w:val="24"/>
              </w:rPr>
            </w:pPr>
            <w:r>
              <w:rPr>
                <w:rFonts w:hint="eastAsia" w:ascii="仿宋_GB2312" w:hAnsi="仿宋_GB2312" w:eastAsia="仿宋_GB2312" w:cs="仿宋_GB2312"/>
                <w:sz w:val="24"/>
              </w:rPr>
              <w:t>台</w:t>
            </w:r>
          </w:p>
        </w:tc>
        <w:tc>
          <w:tcPr>
            <w:tcW w:w="1303" w:type="dxa"/>
            <w:shd w:val="clear" w:color="auto" w:fill="auto"/>
          </w:tcPr>
          <w:p>
            <w:pPr>
              <w:spacing w:before="100" w:line="158" w:lineRule="auto"/>
              <w:ind w:left="588"/>
              <w:rPr>
                <w:rFonts w:ascii="仿宋_GB2312" w:hAnsi="仿宋_GB2312" w:eastAsia="仿宋_GB2312" w:cs="仿宋_GB2312"/>
                <w:sz w:val="24"/>
              </w:rPr>
            </w:pPr>
            <w:r>
              <w:rPr>
                <w:rFonts w:hint="eastAsia" w:ascii="仿宋_GB2312" w:hAnsi="仿宋_GB2312" w:eastAsia="仿宋_GB2312" w:cs="仿宋_GB2312"/>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0" w:line="159" w:lineRule="auto"/>
              <w:ind w:left="201"/>
              <w:rPr>
                <w:rFonts w:ascii="仿宋_GB2312" w:hAnsi="仿宋_GB2312" w:eastAsia="仿宋_GB2312" w:cs="仿宋_GB2312"/>
                <w:sz w:val="24"/>
              </w:rPr>
            </w:pPr>
            <w:r>
              <w:rPr>
                <w:rFonts w:hint="eastAsia" w:ascii="仿宋_GB2312" w:hAnsi="仿宋_GB2312" w:eastAsia="仿宋_GB2312" w:cs="仿宋_GB2312"/>
                <w:spacing w:val="-7"/>
                <w:sz w:val="24"/>
              </w:rPr>
              <w:t>12</w:t>
            </w:r>
          </w:p>
        </w:tc>
        <w:tc>
          <w:tcPr>
            <w:tcW w:w="3306" w:type="dxa"/>
            <w:shd w:val="clear" w:color="auto" w:fill="auto"/>
          </w:tcPr>
          <w:p>
            <w:pPr>
              <w:spacing w:before="34" w:line="206" w:lineRule="auto"/>
              <w:ind w:left="101"/>
              <w:rPr>
                <w:rFonts w:ascii="仿宋_GB2312" w:hAnsi="仿宋_GB2312" w:eastAsia="仿宋_GB2312" w:cs="仿宋_GB2312"/>
                <w:sz w:val="24"/>
              </w:rPr>
            </w:pPr>
            <w:r>
              <w:rPr>
                <w:rFonts w:hint="eastAsia" w:ascii="仿宋_GB2312" w:hAnsi="仿宋_GB2312" w:eastAsia="仿宋_GB2312" w:cs="仿宋_GB2312"/>
                <w:spacing w:val="-3"/>
                <w:sz w:val="24"/>
              </w:rPr>
              <w:t>压力表</w:t>
            </w:r>
          </w:p>
        </w:tc>
        <w:tc>
          <w:tcPr>
            <w:tcW w:w="1358" w:type="dxa"/>
            <w:shd w:val="clear" w:color="auto" w:fill="auto"/>
          </w:tcPr>
          <w:p>
            <w:pPr>
              <w:spacing w:before="45" w:line="197"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11" w:line="168"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0" w:line="159" w:lineRule="auto"/>
              <w:ind w:left="201"/>
              <w:rPr>
                <w:rFonts w:ascii="仿宋_GB2312" w:hAnsi="仿宋_GB2312" w:eastAsia="仿宋_GB2312" w:cs="仿宋_GB2312"/>
                <w:sz w:val="24"/>
              </w:rPr>
            </w:pPr>
            <w:r>
              <w:rPr>
                <w:rFonts w:hint="eastAsia" w:ascii="仿宋_GB2312" w:hAnsi="仿宋_GB2312" w:eastAsia="仿宋_GB2312" w:cs="仿宋_GB2312"/>
                <w:spacing w:val="-7"/>
                <w:sz w:val="24"/>
              </w:rPr>
              <w:t>13</w:t>
            </w:r>
          </w:p>
        </w:tc>
        <w:tc>
          <w:tcPr>
            <w:tcW w:w="3306" w:type="dxa"/>
            <w:shd w:val="clear" w:color="auto" w:fill="auto"/>
          </w:tcPr>
          <w:p>
            <w:pPr>
              <w:spacing w:before="35" w:line="205" w:lineRule="auto"/>
              <w:ind w:left="101"/>
              <w:rPr>
                <w:rFonts w:ascii="仿宋_GB2312" w:hAnsi="仿宋_GB2312" w:eastAsia="仿宋_GB2312" w:cs="仿宋_GB2312"/>
                <w:sz w:val="24"/>
              </w:rPr>
            </w:pPr>
            <w:r>
              <w:rPr>
                <w:rFonts w:hint="eastAsia" w:ascii="仿宋_GB2312" w:hAnsi="仿宋_GB2312" w:eastAsia="仿宋_GB2312" w:cs="仿宋_GB2312"/>
                <w:spacing w:val="1"/>
                <w:sz w:val="24"/>
              </w:rPr>
              <w:t>电动吸引器</w:t>
            </w:r>
          </w:p>
        </w:tc>
        <w:tc>
          <w:tcPr>
            <w:tcW w:w="1358" w:type="dxa"/>
            <w:shd w:val="clear" w:color="auto" w:fill="auto"/>
          </w:tcPr>
          <w:p>
            <w:pPr>
              <w:spacing w:before="45" w:line="197"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00" w:line="180" w:lineRule="exact"/>
              <w:ind w:left="588"/>
              <w:rPr>
                <w:rFonts w:ascii="仿宋_GB2312" w:hAnsi="仿宋_GB2312" w:eastAsia="仿宋_GB2312" w:cs="仿宋_GB2312"/>
                <w:sz w:val="24"/>
              </w:rPr>
            </w:pPr>
            <w:r>
              <w:rPr>
                <w:rFonts w:hint="eastAsia" w:ascii="仿宋_GB2312" w:hAnsi="仿宋_GB2312" w:eastAsia="仿宋_GB2312" w:cs="仿宋_GB2312"/>
                <w:position w:val="-2"/>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100" w:line="158" w:lineRule="auto"/>
              <w:ind w:left="201"/>
              <w:rPr>
                <w:rFonts w:ascii="仿宋_GB2312" w:hAnsi="仿宋_GB2312" w:eastAsia="仿宋_GB2312" w:cs="仿宋_GB2312"/>
                <w:sz w:val="24"/>
              </w:rPr>
            </w:pPr>
            <w:r>
              <w:rPr>
                <w:rFonts w:hint="eastAsia" w:ascii="仿宋_GB2312" w:hAnsi="仿宋_GB2312" w:eastAsia="仿宋_GB2312" w:cs="仿宋_GB2312"/>
                <w:spacing w:val="-7"/>
                <w:sz w:val="24"/>
              </w:rPr>
              <w:t>14</w:t>
            </w:r>
          </w:p>
        </w:tc>
        <w:tc>
          <w:tcPr>
            <w:tcW w:w="3306" w:type="dxa"/>
            <w:shd w:val="clear" w:color="auto" w:fill="auto"/>
          </w:tcPr>
          <w:p>
            <w:pPr>
              <w:spacing w:before="44" w:line="205" w:lineRule="auto"/>
              <w:ind w:left="101"/>
              <w:rPr>
                <w:rFonts w:ascii="仿宋_GB2312" w:hAnsi="仿宋_GB2312" w:eastAsia="仿宋_GB2312" w:cs="仿宋_GB2312"/>
                <w:sz w:val="24"/>
              </w:rPr>
            </w:pPr>
            <w:r>
              <w:rPr>
                <w:rFonts w:hint="eastAsia" w:ascii="仿宋_GB2312" w:hAnsi="仿宋_GB2312" w:eastAsia="仿宋_GB2312" w:cs="仿宋_GB2312"/>
                <w:spacing w:val="1"/>
                <w:sz w:val="24"/>
              </w:rPr>
              <w:t>医用降温毯</w:t>
            </w:r>
          </w:p>
        </w:tc>
        <w:tc>
          <w:tcPr>
            <w:tcW w:w="1358" w:type="dxa"/>
            <w:shd w:val="clear" w:color="auto" w:fill="auto"/>
          </w:tcPr>
          <w:p>
            <w:pPr>
              <w:spacing w:before="57" w:line="194" w:lineRule="auto"/>
              <w:ind w:left="566"/>
              <w:rPr>
                <w:rFonts w:ascii="仿宋_GB2312" w:hAnsi="仿宋_GB2312" w:eastAsia="仿宋_GB2312" w:cs="仿宋_GB2312"/>
                <w:sz w:val="24"/>
              </w:rPr>
            </w:pPr>
            <w:r>
              <w:rPr>
                <w:rFonts w:hint="eastAsia" w:ascii="仿宋_GB2312" w:hAnsi="仿宋_GB2312" w:eastAsia="仿宋_GB2312" w:cs="仿宋_GB2312"/>
                <w:sz w:val="24"/>
              </w:rPr>
              <w:t>台</w:t>
            </w:r>
          </w:p>
        </w:tc>
        <w:tc>
          <w:tcPr>
            <w:tcW w:w="1303" w:type="dxa"/>
            <w:shd w:val="clear" w:color="auto" w:fill="auto"/>
          </w:tcPr>
          <w:p>
            <w:pPr>
              <w:spacing w:before="131" w:line="158"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continue"/>
            <w:tcBorders>
              <w:top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1" w:line="158" w:lineRule="auto"/>
              <w:ind w:left="201"/>
              <w:rPr>
                <w:rFonts w:ascii="仿宋_GB2312" w:hAnsi="仿宋_GB2312" w:eastAsia="仿宋_GB2312" w:cs="仿宋_GB2312"/>
                <w:sz w:val="24"/>
              </w:rPr>
            </w:pPr>
            <w:r>
              <w:rPr>
                <w:rFonts w:hint="eastAsia" w:ascii="仿宋_GB2312" w:hAnsi="仿宋_GB2312" w:eastAsia="仿宋_GB2312" w:cs="仿宋_GB2312"/>
                <w:spacing w:val="-7"/>
                <w:sz w:val="24"/>
              </w:rPr>
              <w:t>15</w:t>
            </w:r>
          </w:p>
        </w:tc>
        <w:tc>
          <w:tcPr>
            <w:tcW w:w="3306" w:type="dxa"/>
            <w:shd w:val="clear" w:color="auto" w:fill="auto"/>
          </w:tcPr>
          <w:p>
            <w:pPr>
              <w:spacing w:before="55" w:line="188" w:lineRule="auto"/>
              <w:ind w:left="101"/>
              <w:rPr>
                <w:rFonts w:ascii="仿宋_GB2312" w:hAnsi="仿宋_GB2312" w:eastAsia="仿宋_GB2312" w:cs="仿宋_GB2312"/>
                <w:sz w:val="24"/>
              </w:rPr>
            </w:pPr>
            <w:r>
              <w:rPr>
                <w:rFonts w:hint="eastAsia" w:ascii="仿宋_GB2312" w:hAnsi="仿宋_GB2312" w:eastAsia="仿宋_GB2312" w:cs="仿宋_GB2312"/>
                <w:spacing w:val="3"/>
                <w:sz w:val="24"/>
              </w:rPr>
              <w:t>升温仪</w:t>
            </w:r>
          </w:p>
        </w:tc>
        <w:tc>
          <w:tcPr>
            <w:tcW w:w="1358" w:type="dxa"/>
            <w:shd w:val="clear" w:color="auto" w:fill="auto"/>
          </w:tcPr>
          <w:p>
            <w:pPr>
              <w:spacing w:before="68" w:line="186" w:lineRule="auto"/>
              <w:ind w:left="566"/>
              <w:rPr>
                <w:rFonts w:ascii="仿宋_GB2312" w:hAnsi="仿宋_GB2312" w:eastAsia="仿宋_GB2312" w:cs="仿宋_GB2312"/>
                <w:sz w:val="24"/>
              </w:rPr>
            </w:pPr>
            <w:r>
              <w:rPr>
                <w:rFonts w:hint="eastAsia" w:ascii="仿宋_GB2312" w:hAnsi="仿宋_GB2312" w:eastAsia="仿宋_GB2312" w:cs="仿宋_GB2312"/>
                <w:sz w:val="24"/>
              </w:rPr>
              <w:t>台</w:t>
            </w:r>
          </w:p>
        </w:tc>
        <w:tc>
          <w:tcPr>
            <w:tcW w:w="1303" w:type="dxa"/>
            <w:shd w:val="clear" w:color="auto" w:fill="auto"/>
          </w:tcPr>
          <w:p>
            <w:pPr>
              <w:spacing w:before="92" w:line="157" w:lineRule="auto"/>
              <w:ind w:left="588"/>
              <w:rPr>
                <w:rFonts w:ascii="仿宋_GB2312" w:hAnsi="仿宋_GB2312" w:eastAsia="仿宋_GB2312" w:cs="仿宋_GB2312"/>
                <w:sz w:val="24"/>
              </w:rPr>
            </w:pPr>
            <w:r>
              <w:rPr>
                <w:rFonts w:hint="eastAsia" w:ascii="仿宋_GB2312" w:hAnsi="仿宋_GB2312" w:eastAsia="仿宋_GB2312" w:cs="仿宋_GB2312"/>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restart"/>
            <w:tcBorders>
              <w:bottom w:val="nil"/>
            </w:tcBorders>
            <w:shd w:val="clear" w:color="auto" w:fill="auto"/>
          </w:tcPr>
          <w:p>
            <w:pPr>
              <w:spacing w:line="462" w:lineRule="auto"/>
              <w:rPr>
                <w:rFonts w:ascii="仿宋_GB2312" w:hAnsi="仿宋_GB2312" w:eastAsia="仿宋_GB2312" w:cs="仿宋_GB2312"/>
                <w:b/>
                <w:bCs/>
                <w:sz w:val="24"/>
              </w:rPr>
            </w:pPr>
          </w:p>
          <w:p>
            <w:pPr>
              <w:spacing w:before="71" w:line="210"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4"/>
                <w:sz w:val="24"/>
              </w:rPr>
              <w:t>呼吸</w:t>
            </w:r>
          </w:p>
          <w:p>
            <w:pPr>
              <w:spacing w:line="202"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4"/>
                <w:sz w:val="24"/>
              </w:rPr>
              <w:t>治疗</w:t>
            </w:r>
          </w:p>
          <w:p>
            <w:pPr>
              <w:spacing w:line="220"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5"/>
                <w:sz w:val="24"/>
              </w:rPr>
              <w:t>设备</w:t>
            </w:r>
          </w:p>
        </w:tc>
        <w:tc>
          <w:tcPr>
            <w:tcW w:w="639" w:type="dxa"/>
            <w:shd w:val="clear" w:color="auto" w:fill="auto"/>
          </w:tcPr>
          <w:p>
            <w:pPr>
              <w:spacing w:before="91" w:line="158" w:lineRule="auto"/>
              <w:ind w:left="201"/>
              <w:rPr>
                <w:rFonts w:ascii="仿宋_GB2312" w:hAnsi="仿宋_GB2312" w:eastAsia="仿宋_GB2312" w:cs="仿宋_GB2312"/>
                <w:sz w:val="24"/>
              </w:rPr>
            </w:pPr>
            <w:r>
              <w:rPr>
                <w:rFonts w:hint="eastAsia" w:ascii="仿宋_GB2312" w:hAnsi="仿宋_GB2312" w:eastAsia="仿宋_GB2312" w:cs="仿宋_GB2312"/>
                <w:spacing w:val="-7"/>
                <w:sz w:val="24"/>
              </w:rPr>
              <w:t>16</w:t>
            </w:r>
          </w:p>
        </w:tc>
        <w:tc>
          <w:tcPr>
            <w:tcW w:w="3306" w:type="dxa"/>
            <w:shd w:val="clear" w:color="auto" w:fill="auto"/>
          </w:tcPr>
          <w:p>
            <w:pPr>
              <w:spacing w:before="35" w:line="205" w:lineRule="auto"/>
              <w:ind w:left="101"/>
              <w:rPr>
                <w:rFonts w:ascii="仿宋_GB2312" w:hAnsi="仿宋_GB2312" w:eastAsia="仿宋_GB2312" w:cs="仿宋_GB2312"/>
                <w:sz w:val="24"/>
              </w:rPr>
            </w:pPr>
            <w:r>
              <w:rPr>
                <w:rFonts w:hint="eastAsia" w:ascii="仿宋_GB2312" w:hAnsi="仿宋_GB2312" w:eastAsia="仿宋_GB2312" w:cs="仿宋_GB2312"/>
                <w:spacing w:val="1"/>
                <w:sz w:val="24"/>
              </w:rPr>
              <w:t>高流量湿化氧疗系统</w:t>
            </w:r>
          </w:p>
        </w:tc>
        <w:tc>
          <w:tcPr>
            <w:tcW w:w="1358" w:type="dxa"/>
            <w:shd w:val="clear" w:color="auto" w:fill="auto"/>
          </w:tcPr>
          <w:p>
            <w:pPr>
              <w:spacing w:before="46" w:line="196"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02" w:line="177" w:lineRule="exact"/>
              <w:ind w:left="478"/>
              <w:rPr>
                <w:rFonts w:ascii="仿宋_GB2312" w:hAnsi="仿宋_GB2312" w:eastAsia="仿宋_GB2312" w:cs="仿宋_GB2312"/>
                <w:sz w:val="24"/>
              </w:rPr>
            </w:pPr>
            <w:r>
              <w:rPr>
                <w:rFonts w:hint="eastAsia" w:ascii="仿宋_GB2312" w:hAnsi="仿宋_GB2312" w:eastAsia="仿宋_GB2312" w:cs="仿宋_GB2312"/>
                <w:spacing w:val="-5"/>
                <w:position w:val="-2"/>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101" w:line="157" w:lineRule="auto"/>
              <w:ind w:left="201"/>
              <w:rPr>
                <w:rFonts w:ascii="仿宋_GB2312" w:hAnsi="仿宋_GB2312" w:eastAsia="仿宋_GB2312" w:cs="仿宋_GB2312"/>
                <w:sz w:val="24"/>
              </w:rPr>
            </w:pPr>
            <w:r>
              <w:rPr>
                <w:rFonts w:hint="eastAsia" w:ascii="仿宋_GB2312" w:hAnsi="仿宋_GB2312" w:eastAsia="仿宋_GB2312" w:cs="仿宋_GB2312"/>
                <w:spacing w:val="-7"/>
                <w:sz w:val="24"/>
              </w:rPr>
              <w:t>17</w:t>
            </w:r>
          </w:p>
        </w:tc>
        <w:tc>
          <w:tcPr>
            <w:tcW w:w="3306" w:type="dxa"/>
            <w:shd w:val="clear" w:color="auto" w:fill="auto"/>
          </w:tcPr>
          <w:p>
            <w:pPr>
              <w:spacing w:before="44" w:line="205"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无创呼吸机</w:t>
            </w:r>
          </w:p>
        </w:tc>
        <w:tc>
          <w:tcPr>
            <w:tcW w:w="1358" w:type="dxa"/>
            <w:shd w:val="clear" w:color="auto" w:fill="auto"/>
          </w:tcPr>
          <w:p>
            <w:pPr>
              <w:spacing w:before="57" w:line="194" w:lineRule="auto"/>
              <w:ind w:left="566"/>
              <w:rPr>
                <w:rFonts w:ascii="仿宋_GB2312" w:hAnsi="仿宋_GB2312" w:eastAsia="仿宋_GB2312" w:cs="仿宋_GB2312"/>
                <w:sz w:val="24"/>
              </w:rPr>
            </w:pPr>
            <w:r>
              <w:rPr>
                <w:rFonts w:hint="eastAsia" w:ascii="仿宋_GB2312" w:hAnsi="仿宋_GB2312" w:eastAsia="仿宋_GB2312" w:cs="仿宋_GB2312"/>
                <w:sz w:val="24"/>
              </w:rPr>
              <w:t>台</w:t>
            </w:r>
          </w:p>
        </w:tc>
        <w:tc>
          <w:tcPr>
            <w:tcW w:w="1303" w:type="dxa"/>
            <w:shd w:val="clear" w:color="auto" w:fill="auto"/>
          </w:tcPr>
          <w:p>
            <w:pPr>
              <w:spacing w:before="112" w:line="177" w:lineRule="exact"/>
              <w:ind w:left="478"/>
              <w:rPr>
                <w:rFonts w:ascii="仿宋_GB2312" w:hAnsi="仿宋_GB2312" w:eastAsia="仿宋_GB2312" w:cs="仿宋_GB2312"/>
                <w:sz w:val="24"/>
              </w:rPr>
            </w:pPr>
            <w:r>
              <w:rPr>
                <w:rFonts w:hint="eastAsia" w:ascii="仿宋_GB2312" w:hAnsi="仿宋_GB2312" w:eastAsia="仿宋_GB2312" w:cs="仿宋_GB2312"/>
                <w:spacing w:val="-4"/>
                <w:position w:val="-2"/>
                <w:sz w:val="24"/>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2" w:line="157" w:lineRule="auto"/>
              <w:ind w:left="201"/>
              <w:rPr>
                <w:rFonts w:ascii="仿宋_GB2312" w:hAnsi="仿宋_GB2312" w:eastAsia="仿宋_GB2312" w:cs="仿宋_GB2312"/>
                <w:sz w:val="24"/>
              </w:rPr>
            </w:pPr>
            <w:r>
              <w:rPr>
                <w:rFonts w:hint="eastAsia" w:ascii="仿宋_GB2312" w:hAnsi="仿宋_GB2312" w:eastAsia="仿宋_GB2312" w:cs="仿宋_GB2312"/>
                <w:spacing w:val="-7"/>
                <w:sz w:val="24"/>
              </w:rPr>
              <w:t>18</w:t>
            </w:r>
          </w:p>
        </w:tc>
        <w:tc>
          <w:tcPr>
            <w:tcW w:w="3306" w:type="dxa"/>
            <w:shd w:val="clear" w:color="auto" w:fill="auto"/>
          </w:tcPr>
          <w:p>
            <w:pPr>
              <w:spacing w:before="35" w:line="205"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有创呼吸机</w:t>
            </w:r>
          </w:p>
        </w:tc>
        <w:tc>
          <w:tcPr>
            <w:tcW w:w="1358" w:type="dxa"/>
            <w:shd w:val="clear" w:color="auto" w:fill="auto"/>
          </w:tcPr>
          <w:p>
            <w:pPr>
              <w:spacing w:before="50" w:line="193" w:lineRule="auto"/>
              <w:ind w:left="566"/>
              <w:rPr>
                <w:rFonts w:ascii="仿宋_GB2312" w:hAnsi="仿宋_GB2312" w:eastAsia="仿宋_GB2312" w:cs="仿宋_GB2312"/>
                <w:sz w:val="24"/>
              </w:rPr>
            </w:pPr>
            <w:r>
              <w:rPr>
                <w:rFonts w:hint="eastAsia" w:ascii="仿宋_GB2312" w:hAnsi="仿宋_GB2312" w:eastAsia="仿宋_GB2312" w:cs="仿宋_GB2312"/>
                <w:sz w:val="24"/>
              </w:rPr>
              <w:t>台</w:t>
            </w:r>
          </w:p>
        </w:tc>
        <w:tc>
          <w:tcPr>
            <w:tcW w:w="1303" w:type="dxa"/>
            <w:shd w:val="clear" w:color="auto" w:fill="auto"/>
          </w:tcPr>
          <w:p>
            <w:pPr>
              <w:spacing w:before="103" w:line="177" w:lineRule="exact"/>
              <w:ind w:left="428"/>
              <w:rPr>
                <w:rFonts w:ascii="仿宋_GB2312" w:hAnsi="仿宋_GB2312" w:eastAsia="仿宋_GB2312" w:cs="仿宋_GB2312"/>
                <w:sz w:val="24"/>
              </w:rPr>
            </w:pPr>
            <w:r>
              <w:rPr>
                <w:rFonts w:hint="eastAsia" w:ascii="仿宋_GB2312" w:hAnsi="仿宋_GB2312" w:eastAsia="仿宋_GB2312" w:cs="仿宋_GB2312"/>
                <w:position w:val="-2"/>
                <w:sz w:val="24"/>
              </w:rPr>
              <w:t>6-10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2" w:line="157" w:lineRule="auto"/>
              <w:ind w:left="201"/>
              <w:rPr>
                <w:rFonts w:ascii="仿宋_GB2312" w:hAnsi="仿宋_GB2312" w:eastAsia="仿宋_GB2312" w:cs="仿宋_GB2312"/>
                <w:sz w:val="24"/>
              </w:rPr>
            </w:pPr>
            <w:r>
              <w:rPr>
                <w:rFonts w:hint="eastAsia" w:ascii="仿宋_GB2312" w:hAnsi="仿宋_GB2312" w:eastAsia="仿宋_GB2312" w:cs="仿宋_GB2312"/>
                <w:spacing w:val="-7"/>
                <w:sz w:val="24"/>
              </w:rPr>
              <w:t>19</w:t>
            </w:r>
          </w:p>
        </w:tc>
        <w:tc>
          <w:tcPr>
            <w:tcW w:w="3306" w:type="dxa"/>
            <w:shd w:val="clear" w:color="auto" w:fill="auto"/>
          </w:tcPr>
          <w:p>
            <w:pPr>
              <w:spacing w:before="93" w:line="187" w:lineRule="exact"/>
              <w:ind w:left="101"/>
              <w:rPr>
                <w:rFonts w:ascii="仿宋_GB2312" w:hAnsi="仿宋_GB2312" w:eastAsia="仿宋_GB2312" w:cs="仿宋_GB2312"/>
                <w:sz w:val="24"/>
              </w:rPr>
            </w:pPr>
            <w:r>
              <w:rPr>
                <w:rFonts w:hint="eastAsia" w:ascii="仿宋_GB2312" w:hAnsi="仿宋_GB2312" w:eastAsia="仿宋_GB2312" w:cs="仿宋_GB2312"/>
                <w:spacing w:val="-2"/>
                <w:position w:val="-2"/>
                <w:sz w:val="24"/>
              </w:rPr>
              <w:t>ECMO</w:t>
            </w:r>
          </w:p>
        </w:tc>
        <w:tc>
          <w:tcPr>
            <w:tcW w:w="1358" w:type="dxa"/>
            <w:shd w:val="clear" w:color="auto" w:fill="auto"/>
          </w:tcPr>
          <w:p>
            <w:pPr>
              <w:spacing w:before="47" w:line="195"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32" w:line="148"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113" w:line="156" w:lineRule="exact"/>
              <w:ind w:left="201"/>
              <w:rPr>
                <w:rFonts w:ascii="仿宋_GB2312" w:hAnsi="仿宋_GB2312" w:eastAsia="仿宋_GB2312" w:cs="仿宋_GB2312"/>
                <w:sz w:val="24"/>
              </w:rPr>
            </w:pPr>
            <w:r>
              <w:rPr>
                <w:rFonts w:hint="eastAsia" w:ascii="仿宋_GB2312" w:hAnsi="仿宋_GB2312" w:eastAsia="仿宋_GB2312" w:cs="仿宋_GB2312"/>
                <w:spacing w:val="-3"/>
                <w:position w:val="-3"/>
                <w:sz w:val="24"/>
              </w:rPr>
              <w:t>20</w:t>
            </w:r>
          </w:p>
        </w:tc>
        <w:tc>
          <w:tcPr>
            <w:tcW w:w="3306" w:type="dxa"/>
            <w:shd w:val="clear" w:color="auto" w:fill="auto"/>
          </w:tcPr>
          <w:p>
            <w:pPr>
              <w:spacing w:before="36" w:line="195"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支气管镜</w:t>
            </w:r>
          </w:p>
        </w:tc>
        <w:tc>
          <w:tcPr>
            <w:tcW w:w="1358" w:type="dxa"/>
            <w:shd w:val="clear" w:color="auto" w:fill="auto"/>
          </w:tcPr>
          <w:p>
            <w:pPr>
              <w:spacing w:before="37" w:line="194"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92" w:line="177"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continue"/>
            <w:tcBorders>
              <w:top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3" w:line="187" w:lineRule="exact"/>
              <w:ind w:left="201"/>
              <w:rPr>
                <w:rFonts w:ascii="仿宋_GB2312" w:hAnsi="仿宋_GB2312" w:eastAsia="仿宋_GB2312" w:cs="仿宋_GB2312"/>
                <w:sz w:val="24"/>
              </w:rPr>
            </w:pPr>
            <w:r>
              <w:rPr>
                <w:rFonts w:hint="eastAsia" w:ascii="仿宋_GB2312" w:hAnsi="仿宋_GB2312" w:eastAsia="仿宋_GB2312" w:cs="仿宋_GB2312"/>
                <w:spacing w:val="-3"/>
                <w:position w:val="-2"/>
                <w:sz w:val="24"/>
              </w:rPr>
              <w:t>21</w:t>
            </w:r>
          </w:p>
        </w:tc>
        <w:tc>
          <w:tcPr>
            <w:tcW w:w="3306" w:type="dxa"/>
            <w:shd w:val="clear" w:color="auto" w:fill="auto"/>
          </w:tcPr>
          <w:p>
            <w:pPr>
              <w:spacing w:before="77" w:line="187" w:lineRule="auto"/>
              <w:ind w:left="101"/>
              <w:rPr>
                <w:rFonts w:ascii="仿宋_GB2312" w:hAnsi="仿宋_GB2312" w:eastAsia="仿宋_GB2312" w:cs="仿宋_GB2312"/>
                <w:sz w:val="24"/>
              </w:rPr>
            </w:pPr>
            <w:r>
              <w:rPr>
                <w:rFonts w:hint="eastAsia" w:ascii="仿宋_GB2312" w:hAnsi="仿宋_GB2312" w:eastAsia="仿宋_GB2312" w:cs="仿宋_GB2312"/>
                <w:spacing w:val="21"/>
                <w:sz w:val="24"/>
              </w:rPr>
              <w:t>一次性气管镜</w:t>
            </w:r>
          </w:p>
        </w:tc>
        <w:tc>
          <w:tcPr>
            <w:tcW w:w="1358" w:type="dxa"/>
            <w:shd w:val="clear" w:color="auto" w:fill="auto"/>
          </w:tcPr>
          <w:p>
            <w:pPr>
              <w:spacing w:before="50" w:line="193" w:lineRule="auto"/>
              <w:ind w:left="566"/>
              <w:rPr>
                <w:rFonts w:ascii="仿宋_GB2312" w:hAnsi="仿宋_GB2312" w:eastAsia="仿宋_GB2312" w:cs="仿宋_GB2312"/>
                <w:sz w:val="24"/>
              </w:rPr>
            </w:pPr>
            <w:r>
              <w:rPr>
                <w:rFonts w:hint="eastAsia" w:ascii="仿宋_GB2312" w:hAnsi="仿宋_GB2312" w:eastAsia="仿宋_GB2312" w:cs="仿宋_GB2312"/>
                <w:sz w:val="24"/>
              </w:rPr>
              <w:t>台</w:t>
            </w:r>
          </w:p>
        </w:tc>
        <w:tc>
          <w:tcPr>
            <w:tcW w:w="1303" w:type="dxa"/>
            <w:shd w:val="clear" w:color="auto" w:fill="auto"/>
          </w:tcPr>
          <w:p>
            <w:pPr>
              <w:spacing w:before="134" w:line="146"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restart"/>
            <w:tcBorders>
              <w:bottom w:val="nil"/>
            </w:tcBorders>
            <w:shd w:val="clear" w:color="auto" w:fill="auto"/>
          </w:tcPr>
          <w:p>
            <w:pPr>
              <w:spacing w:before="218" w:line="227"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3"/>
                <w:sz w:val="24"/>
              </w:rPr>
              <w:t>其他</w:t>
            </w:r>
          </w:p>
          <w:p>
            <w:pPr>
              <w:spacing w:before="1" w:line="218"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4"/>
                <w:sz w:val="24"/>
              </w:rPr>
              <w:t>治疗</w:t>
            </w:r>
          </w:p>
          <w:p>
            <w:pPr>
              <w:spacing w:line="220"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5"/>
                <w:sz w:val="24"/>
              </w:rPr>
              <w:t>设备</w:t>
            </w:r>
          </w:p>
        </w:tc>
        <w:tc>
          <w:tcPr>
            <w:tcW w:w="639" w:type="dxa"/>
            <w:shd w:val="clear" w:color="auto" w:fill="auto"/>
          </w:tcPr>
          <w:p>
            <w:pPr>
              <w:spacing w:before="134" w:line="146" w:lineRule="exact"/>
              <w:ind w:left="201"/>
              <w:rPr>
                <w:rFonts w:ascii="仿宋_GB2312" w:hAnsi="仿宋_GB2312" w:eastAsia="仿宋_GB2312" w:cs="仿宋_GB2312"/>
                <w:sz w:val="24"/>
              </w:rPr>
            </w:pPr>
            <w:r>
              <w:rPr>
                <w:rFonts w:hint="eastAsia" w:ascii="仿宋_GB2312" w:hAnsi="仿宋_GB2312" w:eastAsia="仿宋_GB2312" w:cs="仿宋_GB2312"/>
                <w:spacing w:val="-1"/>
                <w:position w:val="-3"/>
                <w:sz w:val="24"/>
              </w:rPr>
              <w:t>22</w:t>
            </w:r>
          </w:p>
        </w:tc>
        <w:tc>
          <w:tcPr>
            <w:tcW w:w="3306" w:type="dxa"/>
            <w:shd w:val="clear" w:color="auto" w:fill="auto"/>
          </w:tcPr>
          <w:p>
            <w:pPr>
              <w:spacing w:before="77" w:line="187" w:lineRule="auto"/>
              <w:ind w:left="101"/>
              <w:rPr>
                <w:rFonts w:ascii="仿宋_GB2312" w:hAnsi="仿宋_GB2312" w:eastAsia="仿宋_GB2312" w:cs="仿宋_GB2312"/>
                <w:sz w:val="24"/>
              </w:rPr>
            </w:pPr>
            <w:r>
              <w:rPr>
                <w:rFonts w:hint="eastAsia" w:ascii="仿宋_GB2312" w:hAnsi="仿宋_GB2312" w:eastAsia="仿宋_GB2312" w:cs="仿宋_GB2312"/>
                <w:spacing w:val="21"/>
                <w:sz w:val="24"/>
              </w:rPr>
              <w:t>主动脉内球囊反搏泵</w:t>
            </w:r>
          </w:p>
        </w:tc>
        <w:tc>
          <w:tcPr>
            <w:tcW w:w="1358" w:type="dxa"/>
            <w:shd w:val="clear" w:color="auto" w:fill="auto"/>
          </w:tcPr>
          <w:p>
            <w:pPr>
              <w:spacing w:before="48" w:line="194"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33" w:line="146"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104" w:line="186" w:lineRule="exact"/>
              <w:ind w:left="201"/>
              <w:rPr>
                <w:rFonts w:ascii="仿宋_GB2312" w:hAnsi="仿宋_GB2312" w:eastAsia="仿宋_GB2312" w:cs="仿宋_GB2312"/>
                <w:sz w:val="24"/>
              </w:rPr>
            </w:pPr>
            <w:r>
              <w:rPr>
                <w:rFonts w:hint="eastAsia" w:ascii="仿宋_GB2312" w:hAnsi="仿宋_GB2312" w:eastAsia="仿宋_GB2312" w:cs="仿宋_GB2312"/>
                <w:spacing w:val="-3"/>
                <w:position w:val="-2"/>
                <w:sz w:val="24"/>
              </w:rPr>
              <w:t>23</w:t>
            </w:r>
          </w:p>
        </w:tc>
        <w:tc>
          <w:tcPr>
            <w:tcW w:w="3306" w:type="dxa"/>
            <w:shd w:val="clear" w:color="auto" w:fill="auto"/>
          </w:tcPr>
          <w:p>
            <w:pPr>
              <w:spacing w:before="48" w:line="203" w:lineRule="auto"/>
              <w:ind w:left="101"/>
              <w:rPr>
                <w:rFonts w:ascii="仿宋_GB2312" w:hAnsi="仿宋_GB2312" w:eastAsia="仿宋_GB2312" w:cs="仿宋_GB2312"/>
                <w:sz w:val="24"/>
              </w:rPr>
            </w:pPr>
            <w:r>
              <w:rPr>
                <w:rFonts w:hint="eastAsia" w:ascii="仿宋_GB2312" w:hAnsi="仿宋_GB2312" w:eastAsia="仿宋_GB2312" w:cs="仿宋_GB2312"/>
                <w:spacing w:val="-1"/>
                <w:sz w:val="24"/>
              </w:rPr>
              <w:t>全自动连续血滤系统</w:t>
            </w:r>
          </w:p>
        </w:tc>
        <w:tc>
          <w:tcPr>
            <w:tcW w:w="1358" w:type="dxa"/>
            <w:shd w:val="clear" w:color="auto" w:fill="auto"/>
          </w:tcPr>
          <w:p>
            <w:pPr>
              <w:spacing w:before="58" w:line="194"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14" w:line="176" w:lineRule="exact"/>
              <w:ind w:left="588"/>
              <w:rPr>
                <w:rFonts w:ascii="仿宋_GB2312" w:hAnsi="仿宋_GB2312" w:eastAsia="仿宋_GB2312" w:cs="仿宋_GB2312"/>
                <w:sz w:val="24"/>
              </w:rPr>
            </w:pPr>
            <w:r>
              <w:rPr>
                <w:rFonts w:hint="eastAsia" w:ascii="仿宋_GB2312" w:hAnsi="仿宋_GB2312" w:eastAsia="仿宋_GB2312" w:cs="仿宋_GB2312"/>
                <w:position w:val="-2"/>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4" w:line="186" w:lineRule="exact"/>
              <w:ind w:left="201"/>
              <w:rPr>
                <w:rFonts w:ascii="仿宋_GB2312" w:hAnsi="仿宋_GB2312" w:eastAsia="仿宋_GB2312" w:cs="仿宋_GB2312"/>
                <w:sz w:val="24"/>
              </w:rPr>
            </w:pPr>
            <w:r>
              <w:rPr>
                <w:rFonts w:hint="eastAsia" w:ascii="仿宋_GB2312" w:hAnsi="仿宋_GB2312" w:eastAsia="仿宋_GB2312" w:cs="仿宋_GB2312"/>
                <w:spacing w:val="-3"/>
                <w:position w:val="-2"/>
                <w:sz w:val="24"/>
              </w:rPr>
              <w:t>24</w:t>
            </w:r>
          </w:p>
        </w:tc>
        <w:tc>
          <w:tcPr>
            <w:tcW w:w="3306" w:type="dxa"/>
            <w:shd w:val="clear" w:color="auto" w:fill="auto"/>
          </w:tcPr>
          <w:p>
            <w:pPr>
              <w:spacing w:before="38" w:line="203" w:lineRule="auto"/>
              <w:ind w:left="101"/>
              <w:rPr>
                <w:rFonts w:ascii="仿宋_GB2312" w:hAnsi="仿宋_GB2312" w:eastAsia="仿宋_GB2312" w:cs="仿宋_GB2312"/>
                <w:sz w:val="24"/>
              </w:rPr>
            </w:pPr>
            <w:r>
              <w:rPr>
                <w:rFonts w:hint="eastAsia" w:ascii="仿宋_GB2312" w:hAnsi="仿宋_GB2312" w:eastAsia="仿宋_GB2312" w:cs="仿宋_GB2312"/>
                <w:spacing w:val="1"/>
                <w:sz w:val="24"/>
              </w:rPr>
              <w:t>空气波压力治疗仪</w:t>
            </w:r>
          </w:p>
        </w:tc>
        <w:tc>
          <w:tcPr>
            <w:tcW w:w="1358" w:type="dxa"/>
            <w:shd w:val="clear" w:color="auto" w:fill="auto"/>
          </w:tcPr>
          <w:p>
            <w:pPr>
              <w:spacing w:before="39" w:line="202"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94" w:line="186" w:lineRule="exact"/>
              <w:ind w:left="588"/>
              <w:rPr>
                <w:rFonts w:ascii="仿宋_GB2312" w:hAnsi="仿宋_GB2312" w:eastAsia="仿宋_GB2312" w:cs="仿宋_GB2312"/>
                <w:sz w:val="24"/>
              </w:rPr>
            </w:pPr>
            <w:r>
              <w:rPr>
                <w:rFonts w:hint="eastAsia" w:ascii="仿宋_GB2312" w:hAnsi="仿宋_GB2312" w:eastAsia="仿宋_GB2312" w:cs="仿宋_GB2312"/>
                <w:position w:val="-2"/>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continue"/>
            <w:tcBorders>
              <w:top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4" w:line="186" w:lineRule="exact"/>
              <w:ind w:left="201"/>
              <w:rPr>
                <w:rFonts w:ascii="仿宋_GB2312" w:hAnsi="仿宋_GB2312" w:eastAsia="仿宋_GB2312" w:cs="仿宋_GB2312"/>
                <w:sz w:val="24"/>
              </w:rPr>
            </w:pPr>
            <w:r>
              <w:rPr>
                <w:rFonts w:hint="eastAsia" w:ascii="仿宋_GB2312" w:hAnsi="仿宋_GB2312" w:eastAsia="仿宋_GB2312" w:cs="仿宋_GB2312"/>
                <w:spacing w:val="-3"/>
                <w:position w:val="-2"/>
                <w:sz w:val="24"/>
              </w:rPr>
              <w:t>25</w:t>
            </w:r>
          </w:p>
        </w:tc>
        <w:tc>
          <w:tcPr>
            <w:tcW w:w="3306" w:type="dxa"/>
            <w:shd w:val="clear" w:color="auto" w:fill="auto"/>
          </w:tcPr>
          <w:p>
            <w:pPr>
              <w:spacing w:before="38" w:line="203"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康复训练车</w:t>
            </w:r>
          </w:p>
        </w:tc>
        <w:tc>
          <w:tcPr>
            <w:tcW w:w="1358" w:type="dxa"/>
            <w:shd w:val="clear" w:color="auto" w:fill="auto"/>
          </w:tcPr>
          <w:p>
            <w:pPr>
              <w:spacing w:before="60" w:line="193" w:lineRule="auto"/>
              <w:ind w:left="566"/>
              <w:rPr>
                <w:rFonts w:ascii="仿宋_GB2312" w:hAnsi="仿宋_GB2312" w:eastAsia="仿宋_GB2312" w:cs="仿宋_GB2312"/>
                <w:sz w:val="24"/>
              </w:rPr>
            </w:pPr>
            <w:r>
              <w:rPr>
                <w:rFonts w:hint="eastAsia" w:ascii="仿宋_GB2312" w:hAnsi="仿宋_GB2312" w:eastAsia="仿宋_GB2312" w:cs="仿宋_GB2312"/>
                <w:sz w:val="24"/>
              </w:rPr>
              <w:t>台</w:t>
            </w:r>
          </w:p>
        </w:tc>
        <w:tc>
          <w:tcPr>
            <w:tcW w:w="1303" w:type="dxa"/>
            <w:shd w:val="clear" w:color="auto" w:fill="auto"/>
          </w:tcPr>
          <w:p>
            <w:pPr>
              <w:spacing w:before="134" w:line="146"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restart"/>
            <w:tcBorders>
              <w:bottom w:val="nil"/>
            </w:tcBorders>
            <w:shd w:val="clear" w:color="auto" w:fill="auto"/>
          </w:tcPr>
          <w:p>
            <w:pPr>
              <w:spacing w:before="59" w:line="218"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9"/>
                <w:sz w:val="24"/>
              </w:rPr>
              <w:t>监测</w:t>
            </w:r>
          </w:p>
          <w:p>
            <w:pPr>
              <w:spacing w:line="201"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5"/>
                <w:sz w:val="24"/>
              </w:rPr>
              <w:t>设备</w:t>
            </w:r>
          </w:p>
        </w:tc>
        <w:tc>
          <w:tcPr>
            <w:tcW w:w="639" w:type="dxa"/>
            <w:shd w:val="clear" w:color="auto" w:fill="auto"/>
          </w:tcPr>
          <w:p>
            <w:pPr>
              <w:spacing w:before="94" w:line="186" w:lineRule="exact"/>
              <w:ind w:left="201"/>
              <w:rPr>
                <w:rFonts w:ascii="仿宋_GB2312" w:hAnsi="仿宋_GB2312" w:eastAsia="仿宋_GB2312" w:cs="仿宋_GB2312"/>
                <w:sz w:val="24"/>
              </w:rPr>
            </w:pPr>
            <w:r>
              <w:rPr>
                <w:rFonts w:hint="eastAsia" w:ascii="仿宋_GB2312" w:hAnsi="仿宋_GB2312" w:eastAsia="仿宋_GB2312" w:cs="仿宋_GB2312"/>
                <w:spacing w:val="-3"/>
                <w:position w:val="-2"/>
                <w:sz w:val="24"/>
              </w:rPr>
              <w:t>26</w:t>
            </w:r>
          </w:p>
        </w:tc>
        <w:tc>
          <w:tcPr>
            <w:tcW w:w="3306" w:type="dxa"/>
            <w:shd w:val="clear" w:color="auto" w:fill="auto"/>
          </w:tcPr>
          <w:p>
            <w:pPr>
              <w:spacing w:before="38" w:line="203" w:lineRule="auto"/>
              <w:ind w:left="101"/>
              <w:rPr>
                <w:rFonts w:ascii="仿宋_GB2312" w:hAnsi="仿宋_GB2312" w:eastAsia="仿宋_GB2312" w:cs="仿宋_GB2312"/>
                <w:sz w:val="24"/>
              </w:rPr>
            </w:pPr>
            <w:r>
              <w:rPr>
                <w:rFonts w:hint="eastAsia" w:ascii="仿宋_GB2312" w:hAnsi="仿宋_GB2312" w:eastAsia="仿宋_GB2312" w:cs="仿宋_GB2312"/>
                <w:spacing w:val="-1"/>
                <w:sz w:val="24"/>
              </w:rPr>
              <w:t>PICCO模块</w:t>
            </w:r>
          </w:p>
        </w:tc>
        <w:tc>
          <w:tcPr>
            <w:tcW w:w="1358" w:type="dxa"/>
            <w:shd w:val="clear" w:color="auto" w:fill="auto"/>
          </w:tcPr>
          <w:p>
            <w:pPr>
              <w:spacing w:before="48" w:line="194"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94" w:line="186" w:lineRule="exact"/>
              <w:ind w:left="588"/>
              <w:rPr>
                <w:rFonts w:ascii="仿宋_GB2312" w:hAnsi="仿宋_GB2312" w:eastAsia="仿宋_GB2312" w:cs="仿宋_GB2312"/>
                <w:sz w:val="24"/>
              </w:rPr>
            </w:pPr>
            <w:r>
              <w:rPr>
                <w:rFonts w:hint="eastAsia" w:ascii="仿宋_GB2312" w:hAnsi="仿宋_GB2312" w:eastAsia="仿宋_GB2312" w:cs="仿宋_GB2312"/>
                <w:position w:val="-2"/>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286" w:type="dxa"/>
            <w:vMerge w:val="continue"/>
            <w:tcBorders>
              <w:top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4" w:line="176" w:lineRule="exact"/>
              <w:ind w:left="201"/>
              <w:rPr>
                <w:rFonts w:ascii="仿宋_GB2312" w:hAnsi="仿宋_GB2312" w:eastAsia="仿宋_GB2312" w:cs="仿宋_GB2312"/>
                <w:sz w:val="24"/>
              </w:rPr>
            </w:pPr>
            <w:r>
              <w:rPr>
                <w:rFonts w:hint="eastAsia" w:ascii="仿宋_GB2312" w:hAnsi="仿宋_GB2312" w:eastAsia="仿宋_GB2312" w:cs="仿宋_GB2312"/>
                <w:spacing w:val="-3"/>
                <w:position w:val="-2"/>
                <w:sz w:val="24"/>
              </w:rPr>
              <w:t>27</w:t>
            </w:r>
          </w:p>
        </w:tc>
        <w:tc>
          <w:tcPr>
            <w:tcW w:w="3306" w:type="dxa"/>
            <w:shd w:val="clear" w:color="auto" w:fill="auto"/>
          </w:tcPr>
          <w:p>
            <w:pPr>
              <w:spacing w:before="37" w:line="195"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CO模块</w:t>
            </w:r>
          </w:p>
        </w:tc>
        <w:tc>
          <w:tcPr>
            <w:tcW w:w="1358" w:type="dxa"/>
            <w:shd w:val="clear" w:color="auto" w:fill="auto"/>
          </w:tcPr>
          <w:p>
            <w:pPr>
              <w:spacing w:before="58" w:line="186"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23" w:line="146"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286" w:type="dxa"/>
            <w:vMerge w:val="restart"/>
            <w:tcBorders>
              <w:bottom w:val="nil"/>
            </w:tcBorders>
            <w:shd w:val="clear" w:color="auto" w:fill="auto"/>
          </w:tcPr>
          <w:p>
            <w:pPr>
              <w:spacing w:before="67" w:line="220"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3"/>
                <w:sz w:val="24"/>
              </w:rPr>
              <w:t>抢救</w:t>
            </w:r>
          </w:p>
          <w:p>
            <w:pPr>
              <w:spacing w:line="193"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5"/>
                <w:sz w:val="24"/>
              </w:rPr>
              <w:t>设备</w:t>
            </w:r>
          </w:p>
        </w:tc>
        <w:tc>
          <w:tcPr>
            <w:tcW w:w="639" w:type="dxa"/>
            <w:shd w:val="clear" w:color="auto" w:fill="auto"/>
          </w:tcPr>
          <w:p>
            <w:pPr>
              <w:spacing w:before="94" w:line="176" w:lineRule="exact"/>
              <w:ind w:left="201"/>
              <w:rPr>
                <w:rFonts w:ascii="仿宋_GB2312" w:hAnsi="仿宋_GB2312" w:eastAsia="仿宋_GB2312" w:cs="仿宋_GB2312"/>
                <w:sz w:val="24"/>
              </w:rPr>
            </w:pPr>
            <w:r>
              <w:rPr>
                <w:rFonts w:hint="eastAsia" w:ascii="仿宋_GB2312" w:hAnsi="仿宋_GB2312" w:eastAsia="仿宋_GB2312" w:cs="仿宋_GB2312"/>
                <w:spacing w:val="-3"/>
                <w:position w:val="-2"/>
                <w:sz w:val="24"/>
              </w:rPr>
              <w:t>28</w:t>
            </w:r>
          </w:p>
        </w:tc>
        <w:tc>
          <w:tcPr>
            <w:tcW w:w="3306" w:type="dxa"/>
            <w:shd w:val="clear" w:color="auto" w:fill="auto"/>
          </w:tcPr>
          <w:p>
            <w:pPr>
              <w:spacing w:before="37" w:line="195" w:lineRule="auto"/>
              <w:ind w:left="101"/>
              <w:rPr>
                <w:rFonts w:ascii="仿宋_GB2312" w:hAnsi="仿宋_GB2312" w:eastAsia="仿宋_GB2312" w:cs="仿宋_GB2312"/>
                <w:sz w:val="24"/>
              </w:rPr>
            </w:pPr>
            <w:r>
              <w:rPr>
                <w:rFonts w:hint="eastAsia" w:ascii="仿宋_GB2312" w:hAnsi="仿宋_GB2312" w:eastAsia="仿宋_GB2312" w:cs="仿宋_GB2312"/>
                <w:spacing w:val="6"/>
                <w:sz w:val="24"/>
              </w:rPr>
              <w:t>急救推车(药柜)</w:t>
            </w:r>
          </w:p>
        </w:tc>
        <w:tc>
          <w:tcPr>
            <w:tcW w:w="1358" w:type="dxa"/>
            <w:shd w:val="clear" w:color="auto" w:fill="auto"/>
          </w:tcPr>
          <w:p>
            <w:pPr>
              <w:spacing w:before="38" w:line="194"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24" w:line="146"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continue"/>
            <w:tcBorders>
              <w:top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4" w:line="186" w:lineRule="exact"/>
              <w:ind w:left="201"/>
              <w:rPr>
                <w:rFonts w:ascii="仿宋_GB2312" w:hAnsi="仿宋_GB2312" w:eastAsia="仿宋_GB2312" w:cs="仿宋_GB2312"/>
                <w:sz w:val="24"/>
              </w:rPr>
            </w:pPr>
            <w:r>
              <w:rPr>
                <w:rFonts w:hint="eastAsia" w:ascii="仿宋_GB2312" w:hAnsi="仿宋_GB2312" w:eastAsia="仿宋_GB2312" w:cs="仿宋_GB2312"/>
                <w:spacing w:val="-3"/>
                <w:position w:val="-2"/>
                <w:sz w:val="24"/>
              </w:rPr>
              <w:t>29</w:t>
            </w:r>
          </w:p>
        </w:tc>
        <w:tc>
          <w:tcPr>
            <w:tcW w:w="3306" w:type="dxa"/>
            <w:shd w:val="clear" w:color="auto" w:fill="auto"/>
          </w:tcPr>
          <w:p>
            <w:pPr>
              <w:spacing w:before="38" w:line="203"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除颤监护仪</w:t>
            </w:r>
          </w:p>
        </w:tc>
        <w:tc>
          <w:tcPr>
            <w:tcW w:w="1358" w:type="dxa"/>
            <w:shd w:val="clear" w:color="auto" w:fill="auto"/>
          </w:tcPr>
          <w:p>
            <w:pPr>
              <w:spacing w:before="48" w:line="194"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23" w:line="156"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286" w:type="dxa"/>
            <w:vMerge w:val="restart"/>
            <w:tcBorders>
              <w:bottom w:val="nil"/>
            </w:tcBorders>
            <w:shd w:val="clear" w:color="auto" w:fill="auto"/>
          </w:tcPr>
          <w:p>
            <w:pPr>
              <w:spacing w:before="198" w:line="202"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3"/>
                <w:sz w:val="24"/>
              </w:rPr>
              <w:t>转运</w:t>
            </w:r>
          </w:p>
          <w:p>
            <w:pPr>
              <w:spacing w:line="220"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5"/>
                <w:sz w:val="24"/>
              </w:rPr>
              <w:t>设备</w:t>
            </w:r>
          </w:p>
        </w:tc>
        <w:tc>
          <w:tcPr>
            <w:tcW w:w="639" w:type="dxa"/>
            <w:shd w:val="clear" w:color="auto" w:fill="auto"/>
          </w:tcPr>
          <w:p>
            <w:pPr>
              <w:spacing w:before="94" w:line="186" w:lineRule="exact"/>
              <w:ind w:left="201"/>
              <w:rPr>
                <w:rFonts w:ascii="仿宋_GB2312" w:hAnsi="仿宋_GB2312" w:eastAsia="仿宋_GB2312" w:cs="仿宋_GB2312"/>
                <w:sz w:val="24"/>
              </w:rPr>
            </w:pPr>
            <w:r>
              <w:rPr>
                <w:rFonts w:hint="eastAsia" w:ascii="仿宋_GB2312" w:hAnsi="仿宋_GB2312" w:eastAsia="仿宋_GB2312" w:cs="仿宋_GB2312"/>
                <w:spacing w:val="-4"/>
                <w:position w:val="-2"/>
                <w:sz w:val="24"/>
              </w:rPr>
              <w:t>30</w:t>
            </w:r>
          </w:p>
        </w:tc>
        <w:tc>
          <w:tcPr>
            <w:tcW w:w="3306" w:type="dxa"/>
            <w:shd w:val="clear" w:color="auto" w:fill="auto"/>
          </w:tcPr>
          <w:p>
            <w:pPr>
              <w:spacing w:before="36" w:line="204"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转运呼吸机</w:t>
            </w:r>
          </w:p>
        </w:tc>
        <w:tc>
          <w:tcPr>
            <w:tcW w:w="1358" w:type="dxa"/>
            <w:shd w:val="clear" w:color="auto" w:fill="auto"/>
          </w:tcPr>
          <w:p>
            <w:pPr>
              <w:spacing w:before="50" w:line="193" w:lineRule="auto"/>
              <w:ind w:left="566"/>
              <w:rPr>
                <w:rFonts w:ascii="仿宋_GB2312" w:hAnsi="仿宋_GB2312" w:eastAsia="仿宋_GB2312" w:cs="仿宋_GB2312"/>
                <w:sz w:val="24"/>
              </w:rPr>
            </w:pPr>
            <w:r>
              <w:rPr>
                <w:rFonts w:hint="eastAsia" w:ascii="仿宋_GB2312" w:hAnsi="仿宋_GB2312" w:eastAsia="仿宋_GB2312" w:cs="仿宋_GB2312"/>
                <w:sz w:val="24"/>
              </w:rPr>
              <w:t>台</w:t>
            </w:r>
          </w:p>
        </w:tc>
        <w:tc>
          <w:tcPr>
            <w:tcW w:w="1303" w:type="dxa"/>
            <w:shd w:val="clear" w:color="auto" w:fill="auto"/>
          </w:tcPr>
          <w:p>
            <w:pPr>
              <w:spacing w:before="133" w:line="146"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286" w:type="dxa"/>
            <w:vMerge w:val="continue"/>
            <w:tcBorders>
              <w:top w:val="nil"/>
              <w:bottom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83" w:line="175" w:lineRule="exact"/>
              <w:ind w:left="201"/>
              <w:rPr>
                <w:rFonts w:ascii="仿宋_GB2312" w:hAnsi="仿宋_GB2312" w:eastAsia="仿宋_GB2312" w:cs="仿宋_GB2312"/>
                <w:sz w:val="24"/>
              </w:rPr>
            </w:pPr>
            <w:r>
              <w:rPr>
                <w:rFonts w:hint="eastAsia" w:ascii="仿宋_GB2312" w:hAnsi="仿宋_GB2312" w:eastAsia="仿宋_GB2312" w:cs="仿宋_GB2312"/>
                <w:spacing w:val="-4"/>
                <w:position w:val="-2"/>
                <w:sz w:val="24"/>
              </w:rPr>
              <w:t>31</w:t>
            </w:r>
          </w:p>
        </w:tc>
        <w:tc>
          <w:tcPr>
            <w:tcW w:w="3306" w:type="dxa"/>
            <w:shd w:val="clear" w:color="auto" w:fill="auto"/>
          </w:tcPr>
          <w:p>
            <w:pPr>
              <w:spacing w:before="27" w:line="194"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转运监护仪</w:t>
            </w:r>
          </w:p>
        </w:tc>
        <w:tc>
          <w:tcPr>
            <w:tcW w:w="1358" w:type="dxa"/>
            <w:shd w:val="clear" w:color="auto" w:fill="auto"/>
          </w:tcPr>
          <w:p>
            <w:pPr>
              <w:spacing w:before="60" w:line="193" w:lineRule="auto"/>
              <w:ind w:left="566"/>
              <w:rPr>
                <w:rFonts w:ascii="仿宋_GB2312" w:hAnsi="仿宋_GB2312" w:eastAsia="仿宋_GB2312" w:cs="仿宋_GB2312"/>
                <w:sz w:val="24"/>
              </w:rPr>
            </w:pPr>
            <w:r>
              <w:rPr>
                <w:rFonts w:hint="eastAsia" w:ascii="仿宋_GB2312" w:hAnsi="仿宋_GB2312" w:eastAsia="仿宋_GB2312" w:cs="仿宋_GB2312"/>
                <w:spacing w:val="4"/>
                <w:sz w:val="24"/>
              </w:rPr>
              <w:t>台</w:t>
            </w:r>
          </w:p>
        </w:tc>
        <w:tc>
          <w:tcPr>
            <w:tcW w:w="1303" w:type="dxa"/>
            <w:shd w:val="clear" w:color="auto" w:fill="auto"/>
          </w:tcPr>
          <w:p>
            <w:pPr>
              <w:spacing w:before="84" w:line="174"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286" w:type="dxa"/>
            <w:vMerge w:val="continue"/>
            <w:tcBorders>
              <w:top w:val="nil"/>
            </w:tcBorders>
            <w:shd w:val="clear" w:color="auto" w:fill="auto"/>
          </w:tcPr>
          <w:p>
            <w:pPr>
              <w:rPr>
                <w:rFonts w:ascii="仿宋_GB2312" w:hAnsi="仿宋_GB2312" w:eastAsia="仿宋_GB2312" w:cs="仿宋_GB2312"/>
                <w:b/>
                <w:bCs/>
                <w:sz w:val="24"/>
              </w:rPr>
            </w:pPr>
          </w:p>
        </w:tc>
        <w:tc>
          <w:tcPr>
            <w:tcW w:w="639" w:type="dxa"/>
            <w:shd w:val="clear" w:color="auto" w:fill="auto"/>
          </w:tcPr>
          <w:p>
            <w:pPr>
              <w:spacing w:before="95" w:line="175" w:lineRule="exact"/>
              <w:ind w:left="201"/>
              <w:rPr>
                <w:rFonts w:ascii="仿宋_GB2312" w:hAnsi="仿宋_GB2312" w:eastAsia="仿宋_GB2312" w:cs="仿宋_GB2312"/>
                <w:sz w:val="24"/>
              </w:rPr>
            </w:pPr>
            <w:r>
              <w:rPr>
                <w:rFonts w:hint="eastAsia" w:ascii="仿宋_GB2312" w:hAnsi="仿宋_GB2312" w:eastAsia="仿宋_GB2312" w:cs="仿宋_GB2312"/>
                <w:spacing w:val="-4"/>
                <w:position w:val="-2"/>
                <w:sz w:val="24"/>
              </w:rPr>
              <w:t>32</w:t>
            </w:r>
          </w:p>
        </w:tc>
        <w:tc>
          <w:tcPr>
            <w:tcW w:w="3306" w:type="dxa"/>
            <w:shd w:val="clear" w:color="auto" w:fill="auto"/>
          </w:tcPr>
          <w:p>
            <w:pPr>
              <w:spacing w:before="37" w:line="195" w:lineRule="auto"/>
              <w:ind w:left="101"/>
              <w:rPr>
                <w:rFonts w:ascii="仿宋_GB2312" w:hAnsi="仿宋_GB2312" w:eastAsia="仿宋_GB2312" w:cs="仿宋_GB2312"/>
                <w:sz w:val="24"/>
              </w:rPr>
            </w:pPr>
            <w:r>
              <w:rPr>
                <w:rFonts w:hint="eastAsia" w:ascii="仿宋_GB2312" w:hAnsi="仿宋_GB2312" w:eastAsia="仿宋_GB2312" w:cs="仿宋_GB2312"/>
                <w:spacing w:val="3"/>
                <w:sz w:val="24"/>
              </w:rPr>
              <w:t>脉氧夹</w:t>
            </w:r>
          </w:p>
        </w:tc>
        <w:tc>
          <w:tcPr>
            <w:tcW w:w="1358" w:type="dxa"/>
            <w:shd w:val="clear" w:color="auto" w:fill="auto"/>
          </w:tcPr>
          <w:p>
            <w:pPr>
              <w:spacing w:before="41" w:line="192" w:lineRule="auto"/>
              <w:ind w:left="566"/>
              <w:rPr>
                <w:rFonts w:ascii="仿宋_GB2312" w:hAnsi="仿宋_GB2312" w:eastAsia="仿宋_GB2312" w:cs="仿宋_GB2312"/>
                <w:sz w:val="24"/>
              </w:rPr>
            </w:pPr>
            <w:r>
              <w:rPr>
                <w:rFonts w:hint="eastAsia" w:ascii="仿宋_GB2312" w:hAnsi="仿宋_GB2312" w:eastAsia="仿宋_GB2312" w:cs="仿宋_GB2312"/>
                <w:sz w:val="24"/>
              </w:rPr>
              <w:t>台</w:t>
            </w:r>
          </w:p>
        </w:tc>
        <w:tc>
          <w:tcPr>
            <w:tcW w:w="1303" w:type="dxa"/>
            <w:shd w:val="clear" w:color="auto" w:fill="auto"/>
          </w:tcPr>
          <w:p>
            <w:pPr>
              <w:spacing w:before="117" w:line="153"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286" w:type="dxa"/>
            <w:vMerge w:val="restart"/>
            <w:tcBorders>
              <w:bottom w:val="nil"/>
            </w:tcBorders>
            <w:shd w:val="clear" w:color="auto" w:fill="auto"/>
          </w:tcPr>
          <w:p>
            <w:pPr>
              <w:spacing w:before="89" w:line="194"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6"/>
                <w:sz w:val="24"/>
              </w:rPr>
              <w:t>消毒</w:t>
            </w:r>
          </w:p>
          <w:p>
            <w:pPr>
              <w:spacing w:before="1" w:line="195" w:lineRule="auto"/>
              <w:ind w:left="265"/>
              <w:rPr>
                <w:rFonts w:ascii="仿宋_GB2312" w:hAnsi="仿宋_GB2312" w:eastAsia="仿宋_GB2312" w:cs="仿宋_GB2312"/>
                <w:b/>
                <w:bCs/>
                <w:sz w:val="24"/>
              </w:rPr>
            </w:pPr>
            <w:r>
              <w:rPr>
                <w:rFonts w:hint="eastAsia" w:ascii="仿宋_GB2312" w:hAnsi="仿宋_GB2312" w:eastAsia="仿宋_GB2312" w:cs="仿宋_GB2312"/>
                <w:b/>
                <w:bCs/>
                <w:spacing w:val="5"/>
                <w:sz w:val="24"/>
              </w:rPr>
              <w:t>设备</w:t>
            </w:r>
          </w:p>
        </w:tc>
        <w:tc>
          <w:tcPr>
            <w:tcW w:w="639" w:type="dxa"/>
            <w:shd w:val="clear" w:color="auto" w:fill="auto"/>
          </w:tcPr>
          <w:p>
            <w:pPr>
              <w:spacing w:before="95" w:line="173" w:lineRule="exact"/>
              <w:ind w:left="201"/>
              <w:rPr>
                <w:rFonts w:ascii="仿宋_GB2312" w:hAnsi="仿宋_GB2312" w:eastAsia="仿宋_GB2312" w:cs="仿宋_GB2312"/>
                <w:sz w:val="24"/>
              </w:rPr>
            </w:pPr>
            <w:r>
              <w:rPr>
                <w:rFonts w:hint="eastAsia" w:ascii="仿宋_GB2312" w:hAnsi="仿宋_GB2312" w:eastAsia="仿宋_GB2312" w:cs="仿宋_GB2312"/>
                <w:spacing w:val="-4"/>
                <w:position w:val="-2"/>
                <w:sz w:val="24"/>
              </w:rPr>
              <w:t>33</w:t>
            </w:r>
          </w:p>
        </w:tc>
        <w:tc>
          <w:tcPr>
            <w:tcW w:w="3306" w:type="dxa"/>
            <w:shd w:val="clear" w:color="auto" w:fill="auto"/>
          </w:tcPr>
          <w:p>
            <w:pPr>
              <w:spacing w:before="39" w:line="193" w:lineRule="auto"/>
              <w:ind w:left="101"/>
              <w:rPr>
                <w:rFonts w:ascii="仿宋_GB2312" w:hAnsi="仿宋_GB2312" w:eastAsia="仿宋_GB2312" w:cs="仿宋_GB2312"/>
                <w:sz w:val="24"/>
              </w:rPr>
            </w:pPr>
            <w:r>
              <w:rPr>
                <w:rFonts w:hint="eastAsia" w:ascii="仿宋_GB2312" w:hAnsi="仿宋_GB2312" w:eastAsia="仿宋_GB2312" w:cs="仿宋_GB2312"/>
                <w:spacing w:val="-1"/>
                <w:sz w:val="24"/>
              </w:rPr>
              <w:t>全自动清洗消毒器</w:t>
            </w:r>
          </w:p>
        </w:tc>
        <w:tc>
          <w:tcPr>
            <w:tcW w:w="1358" w:type="dxa"/>
            <w:shd w:val="clear" w:color="auto" w:fill="auto"/>
          </w:tcPr>
          <w:p>
            <w:pPr>
              <w:spacing w:before="40" w:line="192" w:lineRule="auto"/>
              <w:ind w:left="566"/>
              <w:rPr>
                <w:rFonts w:ascii="仿宋_GB2312" w:hAnsi="仿宋_GB2312" w:eastAsia="仿宋_GB2312" w:cs="仿宋_GB2312"/>
                <w:sz w:val="24"/>
              </w:rPr>
            </w:pPr>
            <w:r>
              <w:rPr>
                <w:rFonts w:hint="eastAsia" w:ascii="仿宋_GB2312" w:hAnsi="仿宋_GB2312" w:eastAsia="仿宋_GB2312" w:cs="仿宋_GB2312"/>
                <w:sz w:val="24"/>
              </w:rPr>
              <w:t>套</w:t>
            </w:r>
          </w:p>
        </w:tc>
        <w:tc>
          <w:tcPr>
            <w:tcW w:w="1303" w:type="dxa"/>
            <w:shd w:val="clear" w:color="auto" w:fill="auto"/>
          </w:tcPr>
          <w:p>
            <w:pPr>
              <w:spacing w:before="124" w:line="144" w:lineRule="exact"/>
              <w:ind w:left="588"/>
              <w:rPr>
                <w:rFonts w:ascii="仿宋_GB2312" w:hAnsi="仿宋_GB2312" w:eastAsia="仿宋_GB2312" w:cs="仿宋_GB2312"/>
                <w:sz w:val="24"/>
              </w:rPr>
            </w:pPr>
            <w:r>
              <w:rPr>
                <w:rFonts w:hint="eastAsia" w:ascii="仿宋_GB2312" w:hAnsi="仿宋_GB2312" w:eastAsia="仿宋_GB2312" w:cs="仿宋_GB2312"/>
                <w:position w:val="-3"/>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86" w:type="dxa"/>
            <w:vMerge w:val="continue"/>
            <w:tcBorders>
              <w:top w:val="nil"/>
            </w:tcBorders>
            <w:shd w:val="clear" w:color="auto" w:fill="auto"/>
          </w:tcPr>
          <w:p>
            <w:pPr>
              <w:rPr>
                <w:rFonts w:ascii="仿宋_GB2312" w:hAnsi="仿宋_GB2312" w:eastAsia="仿宋_GB2312" w:cs="仿宋_GB2312"/>
                <w:sz w:val="24"/>
              </w:rPr>
            </w:pPr>
          </w:p>
        </w:tc>
        <w:tc>
          <w:tcPr>
            <w:tcW w:w="639" w:type="dxa"/>
            <w:shd w:val="clear" w:color="auto" w:fill="auto"/>
          </w:tcPr>
          <w:p>
            <w:pPr>
              <w:spacing w:before="126" w:line="148" w:lineRule="exact"/>
              <w:ind w:left="201"/>
              <w:rPr>
                <w:rFonts w:ascii="仿宋_GB2312" w:hAnsi="仿宋_GB2312" w:eastAsia="仿宋_GB2312" w:cs="仿宋_GB2312"/>
                <w:sz w:val="24"/>
              </w:rPr>
            </w:pPr>
            <w:r>
              <w:rPr>
                <w:rFonts w:hint="eastAsia" w:ascii="仿宋_GB2312" w:hAnsi="仿宋_GB2312" w:eastAsia="仿宋_GB2312" w:cs="仿宋_GB2312"/>
                <w:spacing w:val="-1"/>
                <w:position w:val="-3"/>
                <w:sz w:val="24"/>
              </w:rPr>
              <w:t>34</w:t>
            </w:r>
          </w:p>
        </w:tc>
        <w:tc>
          <w:tcPr>
            <w:tcW w:w="3306" w:type="dxa"/>
            <w:shd w:val="clear" w:color="auto" w:fill="auto"/>
          </w:tcPr>
          <w:p>
            <w:pPr>
              <w:spacing w:before="39" w:line="198" w:lineRule="auto"/>
              <w:ind w:left="101"/>
              <w:rPr>
                <w:rFonts w:ascii="仿宋_GB2312" w:hAnsi="仿宋_GB2312" w:eastAsia="仿宋_GB2312" w:cs="仿宋_GB2312"/>
                <w:sz w:val="24"/>
              </w:rPr>
            </w:pPr>
            <w:r>
              <w:rPr>
                <w:rFonts w:hint="eastAsia" w:ascii="仿宋_GB2312" w:hAnsi="仿宋_GB2312" w:eastAsia="仿宋_GB2312" w:cs="仿宋_GB2312"/>
                <w:spacing w:val="-2"/>
                <w:sz w:val="24"/>
              </w:rPr>
              <w:t>过氧化氢消毒机</w:t>
            </w:r>
          </w:p>
        </w:tc>
        <w:tc>
          <w:tcPr>
            <w:tcW w:w="1358" w:type="dxa"/>
            <w:shd w:val="clear" w:color="auto" w:fill="auto"/>
          </w:tcPr>
          <w:p>
            <w:pPr>
              <w:spacing w:before="42" w:line="195" w:lineRule="auto"/>
              <w:ind w:left="566"/>
              <w:rPr>
                <w:rFonts w:ascii="仿宋_GB2312" w:hAnsi="仿宋_GB2312" w:eastAsia="仿宋_GB2312" w:cs="仿宋_GB2312"/>
                <w:sz w:val="24"/>
              </w:rPr>
            </w:pPr>
            <w:r>
              <w:rPr>
                <w:rFonts w:hint="eastAsia" w:ascii="仿宋_GB2312" w:hAnsi="仿宋_GB2312" w:eastAsia="仿宋_GB2312" w:cs="仿宋_GB2312"/>
                <w:sz w:val="24"/>
              </w:rPr>
              <w:t>台</w:t>
            </w:r>
          </w:p>
        </w:tc>
        <w:tc>
          <w:tcPr>
            <w:tcW w:w="1303" w:type="dxa"/>
            <w:shd w:val="clear" w:color="auto" w:fill="auto"/>
          </w:tcPr>
          <w:p>
            <w:pPr>
              <w:spacing w:before="95" w:line="180" w:lineRule="exact"/>
              <w:ind w:left="588"/>
              <w:rPr>
                <w:rFonts w:ascii="仿宋_GB2312" w:hAnsi="仿宋_GB2312" w:eastAsia="仿宋_GB2312" w:cs="仿宋_GB2312"/>
                <w:sz w:val="24"/>
              </w:rPr>
            </w:pPr>
            <w:r>
              <w:rPr>
                <w:rFonts w:hint="eastAsia" w:ascii="仿宋_GB2312" w:hAnsi="仿宋_GB2312" w:eastAsia="仿宋_GB2312" w:cs="仿宋_GB2312"/>
                <w:position w:val="-2"/>
                <w:sz w:val="24"/>
              </w:rPr>
              <w:t>1</w:t>
            </w:r>
          </w:p>
        </w:tc>
      </w:tr>
    </w:tbl>
    <w:p>
      <w:pPr>
        <w:spacing w:before="302" w:line="560" w:lineRule="exact"/>
        <w:rPr>
          <w:rFonts w:ascii="方正黑体_GBK" w:hAnsi="方正黑体_GBK" w:eastAsia="方正黑体_GBK" w:cs="方正黑体_GBK"/>
          <w:spacing w:val="26"/>
          <w:sz w:val="32"/>
          <w:szCs w:val="32"/>
        </w:rPr>
      </w:pPr>
      <w:r>
        <w:rPr>
          <w:rFonts w:ascii="方正黑体_GBK" w:hAnsi="方正黑体_GBK" w:eastAsia="方正黑体_GBK" w:cs="方正黑体_GBK"/>
          <w:spacing w:val="26"/>
          <w:sz w:val="32"/>
          <w:szCs w:val="32"/>
        </w:rPr>
        <w:br w:type="page"/>
      </w:r>
    </w:p>
    <w:p>
      <w:pPr>
        <w:spacing w:before="302" w:line="560" w:lineRule="exact"/>
        <w:rPr>
          <w:rFonts w:ascii="方正黑体_GBK" w:hAnsi="方正黑体_GBK" w:eastAsia="方正黑体_GBK" w:cs="方正黑体_GBK"/>
          <w:spacing w:val="26"/>
          <w:sz w:val="32"/>
          <w:szCs w:val="32"/>
        </w:rPr>
      </w:pPr>
    </w:p>
    <w:p>
      <w:pPr>
        <w:spacing w:before="302" w:line="560" w:lineRule="exact"/>
        <w:rPr>
          <w:rFonts w:ascii="方正黑体_GBK" w:hAnsi="方正黑体_GBK" w:eastAsia="方正黑体_GBK" w:cs="方正黑体_GBK"/>
          <w:spacing w:val="26"/>
          <w:sz w:val="32"/>
          <w:szCs w:val="32"/>
        </w:rPr>
      </w:pPr>
      <w:r>
        <w:rPr>
          <w:rFonts w:hint="eastAsia" w:ascii="方正黑体_GBK" w:hAnsi="方正黑体_GBK" w:eastAsia="方正黑体_GBK" w:cs="方正黑体_GBK"/>
          <w:spacing w:val="26"/>
          <w:sz w:val="32"/>
          <w:szCs w:val="32"/>
        </w:rPr>
        <w:t>附件2</w:t>
      </w:r>
    </w:p>
    <w:p>
      <w:pPr>
        <w:spacing w:line="560" w:lineRule="exact"/>
      </w:pPr>
    </w:p>
    <w:p>
      <w:pPr>
        <w:spacing w:line="560" w:lineRule="exact"/>
        <w:ind w:left="321"/>
        <w:jc w:val="center"/>
        <w:rPr>
          <w:rFonts w:ascii="方正小标宋简体" w:hAnsi="方正小标宋_GBK" w:eastAsia="方正小标宋简体" w:cs="方正小标宋_GBK"/>
          <w:sz w:val="36"/>
          <w:szCs w:val="44"/>
        </w:rPr>
      </w:pPr>
      <w:r>
        <w:rPr>
          <w:rFonts w:hint="eastAsia" w:ascii="方正小标宋简体" w:hAnsi="方正小标宋_GBK" w:eastAsia="方正小标宋简体" w:cs="方正小标宋_GBK"/>
          <w:spacing w:val="16"/>
          <w:sz w:val="36"/>
          <w:szCs w:val="44"/>
        </w:rPr>
        <w:t>呼吸内科</w:t>
      </w:r>
      <w:r>
        <w:rPr>
          <w:rFonts w:hint="eastAsia" w:ascii="方正小标宋简体" w:hAnsi="方正小标宋_GBK" w:eastAsia="方正小标宋简体" w:cs="方正小标宋_GBK"/>
          <w:sz w:val="36"/>
          <w:szCs w:val="44"/>
        </w:rPr>
        <w:t>ICU</w:t>
      </w:r>
      <w:r>
        <w:rPr>
          <w:rFonts w:hint="eastAsia" w:ascii="方正小标宋简体" w:hAnsi="方正小标宋_GBK" w:eastAsia="方正小标宋简体" w:cs="方正小标宋_GBK"/>
          <w:spacing w:val="16"/>
          <w:sz w:val="36"/>
          <w:szCs w:val="44"/>
        </w:rPr>
        <w:t>转化为综合</w:t>
      </w:r>
      <w:r>
        <w:rPr>
          <w:rFonts w:hint="eastAsia" w:ascii="方正小标宋简体" w:hAnsi="方正小标宋_GBK" w:eastAsia="方正小标宋简体" w:cs="方正小标宋_GBK"/>
          <w:sz w:val="36"/>
          <w:szCs w:val="44"/>
        </w:rPr>
        <w:t>ICU</w:t>
      </w:r>
      <w:r>
        <w:rPr>
          <w:rFonts w:hint="eastAsia" w:ascii="方正小标宋简体" w:hAnsi="方正小标宋_GBK" w:eastAsia="方正小标宋简体" w:cs="方正小标宋_GBK"/>
          <w:spacing w:val="16"/>
          <w:sz w:val="36"/>
          <w:szCs w:val="44"/>
        </w:rPr>
        <w:t>增加设备清单</w:t>
      </w: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b/>
          <w:bCs/>
          <w:spacing w:val="12"/>
          <w:sz w:val="32"/>
          <w:szCs w:val="32"/>
        </w:rPr>
        <w:t>(每10张床位需要增加的设备建议清单)</w:t>
      </w:r>
    </w:p>
    <w:p>
      <w:pPr>
        <w:spacing w:line="116" w:lineRule="exact"/>
      </w:pPr>
    </w:p>
    <w:tbl>
      <w:tblPr>
        <w:tblStyle w:val="16"/>
        <w:tblW w:w="80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3"/>
        <w:gridCol w:w="889"/>
        <w:gridCol w:w="3366"/>
        <w:gridCol w:w="1318"/>
        <w:gridCol w:w="1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1043" w:type="dxa"/>
            <w:shd w:val="clear" w:color="auto" w:fill="auto"/>
          </w:tcPr>
          <w:p>
            <w:pPr>
              <w:spacing w:before="55" w:line="226" w:lineRule="auto"/>
              <w:ind w:left="209" w:right="192"/>
              <w:rPr>
                <w:rFonts w:ascii="仿宋_GB2312" w:hAnsi="仿宋_GB2312" w:eastAsia="仿宋_GB2312" w:cs="仿宋_GB2312"/>
                <w:sz w:val="30"/>
                <w:szCs w:val="30"/>
              </w:rPr>
            </w:pPr>
            <w:r>
              <w:rPr>
                <w:rFonts w:hint="eastAsia" w:ascii="仿宋_GB2312" w:hAnsi="仿宋_GB2312" w:eastAsia="仿宋_GB2312" w:cs="仿宋_GB2312"/>
                <w:b/>
                <w:bCs/>
                <w:spacing w:val="-1"/>
                <w:sz w:val="30"/>
                <w:szCs w:val="30"/>
              </w:rPr>
              <w:t>设备</w:t>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b/>
                <w:bCs/>
                <w:spacing w:val="2"/>
                <w:sz w:val="30"/>
                <w:szCs w:val="30"/>
              </w:rPr>
              <w:t>类型</w:t>
            </w:r>
          </w:p>
        </w:tc>
        <w:tc>
          <w:tcPr>
            <w:tcW w:w="889" w:type="dxa"/>
            <w:shd w:val="clear" w:color="auto" w:fill="auto"/>
          </w:tcPr>
          <w:p>
            <w:pPr>
              <w:spacing w:before="255" w:line="221" w:lineRule="auto"/>
              <w:ind w:left="126"/>
              <w:rPr>
                <w:rFonts w:ascii="仿宋_GB2312" w:hAnsi="仿宋_GB2312" w:eastAsia="仿宋_GB2312" w:cs="仿宋_GB2312"/>
                <w:sz w:val="30"/>
                <w:szCs w:val="30"/>
              </w:rPr>
            </w:pPr>
            <w:r>
              <w:rPr>
                <w:rFonts w:hint="eastAsia" w:ascii="仿宋_GB2312" w:hAnsi="仿宋_GB2312" w:eastAsia="仿宋_GB2312" w:cs="仿宋_GB2312"/>
                <w:b/>
                <w:bCs/>
                <w:spacing w:val="1"/>
                <w:sz w:val="30"/>
                <w:szCs w:val="30"/>
              </w:rPr>
              <w:t>序号</w:t>
            </w:r>
          </w:p>
        </w:tc>
        <w:tc>
          <w:tcPr>
            <w:tcW w:w="3366" w:type="dxa"/>
            <w:shd w:val="clear" w:color="auto" w:fill="auto"/>
          </w:tcPr>
          <w:p>
            <w:pPr>
              <w:spacing w:before="255" w:line="221" w:lineRule="auto"/>
              <w:ind w:left="1057"/>
              <w:rPr>
                <w:rFonts w:ascii="仿宋_GB2312" w:hAnsi="仿宋_GB2312" w:eastAsia="仿宋_GB2312" w:cs="仿宋_GB2312"/>
                <w:sz w:val="30"/>
                <w:szCs w:val="30"/>
              </w:rPr>
            </w:pPr>
            <w:r>
              <w:rPr>
                <w:rFonts w:hint="eastAsia" w:ascii="仿宋_GB2312" w:hAnsi="仿宋_GB2312" w:eastAsia="仿宋_GB2312" w:cs="仿宋_GB2312"/>
                <w:b/>
                <w:bCs/>
                <w:spacing w:val="-2"/>
                <w:sz w:val="30"/>
                <w:szCs w:val="30"/>
              </w:rPr>
              <w:t>设备名称</w:t>
            </w:r>
          </w:p>
        </w:tc>
        <w:tc>
          <w:tcPr>
            <w:tcW w:w="1318" w:type="dxa"/>
            <w:shd w:val="clear" w:color="auto" w:fill="auto"/>
          </w:tcPr>
          <w:p>
            <w:pPr>
              <w:spacing w:before="254" w:line="220" w:lineRule="auto"/>
              <w:ind w:left="351"/>
              <w:rPr>
                <w:rFonts w:ascii="仿宋_GB2312" w:hAnsi="仿宋_GB2312" w:eastAsia="仿宋_GB2312" w:cs="仿宋_GB2312"/>
                <w:sz w:val="30"/>
                <w:szCs w:val="30"/>
              </w:rPr>
            </w:pPr>
            <w:r>
              <w:rPr>
                <w:rFonts w:hint="eastAsia" w:ascii="仿宋_GB2312" w:hAnsi="仿宋_GB2312" w:eastAsia="仿宋_GB2312" w:cs="仿宋_GB2312"/>
                <w:b/>
                <w:bCs/>
                <w:spacing w:val="-7"/>
                <w:sz w:val="30"/>
                <w:szCs w:val="30"/>
              </w:rPr>
              <w:t>单位</w:t>
            </w:r>
          </w:p>
        </w:tc>
        <w:tc>
          <w:tcPr>
            <w:tcW w:w="1473" w:type="dxa"/>
            <w:shd w:val="clear" w:color="auto" w:fill="auto"/>
          </w:tcPr>
          <w:p>
            <w:pPr>
              <w:spacing w:before="253" w:line="219" w:lineRule="auto"/>
              <w:ind w:left="423"/>
              <w:rPr>
                <w:rFonts w:ascii="仿宋_GB2312" w:hAnsi="仿宋_GB2312" w:eastAsia="仿宋_GB2312" w:cs="仿宋_GB2312"/>
                <w:sz w:val="30"/>
                <w:szCs w:val="30"/>
              </w:rPr>
            </w:pPr>
            <w:r>
              <w:rPr>
                <w:rFonts w:hint="eastAsia" w:ascii="仿宋_GB2312" w:hAnsi="仿宋_GB2312" w:eastAsia="仿宋_GB2312" w:cs="仿宋_GB2312"/>
                <w:b/>
                <w:bCs/>
                <w:spacing w:val="-7"/>
                <w:sz w:val="30"/>
                <w:szCs w:val="30"/>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43" w:type="dxa"/>
            <w:vMerge w:val="restart"/>
            <w:tcBorders>
              <w:bottom w:val="nil"/>
            </w:tcBorders>
            <w:shd w:val="clear" w:color="auto" w:fill="auto"/>
          </w:tcPr>
          <w:p>
            <w:pPr>
              <w:spacing w:line="312" w:lineRule="auto"/>
              <w:rPr>
                <w:rFonts w:ascii="仿宋_GB2312" w:hAnsi="仿宋_GB2312" w:eastAsia="仿宋_GB2312" w:cs="仿宋_GB2312"/>
                <w:sz w:val="30"/>
                <w:szCs w:val="30"/>
              </w:rPr>
            </w:pPr>
          </w:p>
          <w:p/>
          <w:p>
            <w:pPr>
              <w:spacing w:before="100" w:line="239" w:lineRule="auto"/>
              <w:ind w:right="195"/>
              <w:jc w:val="center"/>
              <w:rPr>
                <w:rFonts w:ascii="仿宋_GB2312" w:hAnsi="仿宋_GB2312" w:eastAsia="仿宋_GB2312" w:cs="仿宋_GB2312"/>
                <w:sz w:val="30"/>
                <w:szCs w:val="30"/>
              </w:rPr>
            </w:pPr>
            <w:r>
              <w:rPr>
                <w:rFonts w:hint="eastAsia" w:ascii="仿宋_GB2312" w:hAnsi="仿宋_GB2312" w:eastAsia="仿宋_GB2312" w:cs="仿宋_GB2312"/>
                <w:b/>
                <w:bCs/>
                <w:sz w:val="30"/>
                <w:szCs w:val="30"/>
              </w:rPr>
              <w:t>基础</w:t>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b/>
                <w:bCs/>
                <w:spacing w:val="-1"/>
                <w:sz w:val="30"/>
                <w:szCs w:val="30"/>
              </w:rPr>
              <w:t>设备</w:t>
            </w:r>
          </w:p>
        </w:tc>
        <w:tc>
          <w:tcPr>
            <w:tcW w:w="889" w:type="dxa"/>
            <w:shd w:val="clear" w:color="auto" w:fill="auto"/>
          </w:tcPr>
          <w:p>
            <w:pPr>
              <w:spacing w:before="132" w:line="159"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c>
          <w:tcPr>
            <w:tcW w:w="3366" w:type="dxa"/>
            <w:shd w:val="clear" w:color="auto" w:fill="auto"/>
          </w:tcPr>
          <w:p>
            <w:pPr>
              <w:spacing w:before="58" w:line="203" w:lineRule="auto"/>
              <w:ind w:left="102"/>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加压袋</w:t>
            </w:r>
          </w:p>
        </w:tc>
        <w:tc>
          <w:tcPr>
            <w:tcW w:w="1318" w:type="dxa"/>
            <w:shd w:val="clear" w:color="auto" w:fill="auto"/>
          </w:tcPr>
          <w:p>
            <w:pPr>
              <w:spacing w:before="58" w:line="203"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只</w:t>
            </w:r>
          </w:p>
        </w:tc>
        <w:tc>
          <w:tcPr>
            <w:tcW w:w="1473" w:type="dxa"/>
            <w:shd w:val="clear" w:color="auto" w:fill="auto"/>
          </w:tcPr>
          <w:p>
            <w:pPr>
              <w:spacing w:before="135" w:line="157" w:lineRule="auto"/>
              <w:ind w:left="648"/>
              <w:rPr>
                <w:rFonts w:ascii="仿宋_GB2312" w:hAnsi="仿宋_GB2312" w:eastAsia="仿宋_GB2312" w:cs="仿宋_GB2312"/>
                <w:sz w:val="30"/>
                <w:szCs w:val="30"/>
              </w:rPr>
            </w:pPr>
            <w:r>
              <w:rPr>
                <w:rFonts w:hint="eastAsia" w:ascii="仿宋_GB2312" w:hAnsi="仿宋_GB2312" w:eastAsia="仿宋_GB2312" w:cs="仿宋_GB2312"/>
                <w:sz w:val="30"/>
                <w:szCs w:val="3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043"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889" w:type="dxa"/>
            <w:shd w:val="clear" w:color="auto" w:fill="auto"/>
          </w:tcPr>
          <w:p>
            <w:pPr>
              <w:spacing w:before="204" w:line="183"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2</w:t>
            </w:r>
          </w:p>
        </w:tc>
        <w:tc>
          <w:tcPr>
            <w:tcW w:w="3366" w:type="dxa"/>
            <w:shd w:val="clear" w:color="auto" w:fill="auto"/>
          </w:tcPr>
          <w:p>
            <w:pPr>
              <w:spacing w:before="122" w:line="219" w:lineRule="auto"/>
              <w:ind w:left="102"/>
              <w:rPr>
                <w:rFonts w:ascii="仿宋_GB2312" w:hAnsi="仿宋_GB2312" w:eastAsia="仿宋_GB2312" w:cs="仿宋_GB2312"/>
                <w:sz w:val="30"/>
                <w:szCs w:val="30"/>
              </w:rPr>
            </w:pPr>
            <w:r>
              <w:rPr>
                <w:rFonts w:hint="eastAsia" w:ascii="仿宋_GB2312" w:hAnsi="仿宋_GB2312" w:eastAsia="仿宋_GB2312" w:cs="仿宋_GB2312"/>
                <w:spacing w:val="3"/>
                <w:sz w:val="30"/>
                <w:szCs w:val="30"/>
              </w:rPr>
              <w:t>精密注射泵</w:t>
            </w:r>
          </w:p>
        </w:tc>
        <w:tc>
          <w:tcPr>
            <w:tcW w:w="1318" w:type="dxa"/>
            <w:shd w:val="clear" w:color="auto" w:fill="auto"/>
          </w:tcPr>
          <w:p>
            <w:pPr>
              <w:spacing w:before="129" w:line="221"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473" w:type="dxa"/>
            <w:shd w:val="clear" w:color="auto" w:fill="auto"/>
          </w:tcPr>
          <w:p>
            <w:pPr>
              <w:spacing w:before="203" w:line="184" w:lineRule="auto"/>
              <w:ind w:left="338"/>
              <w:rPr>
                <w:rFonts w:ascii="仿宋_GB2312" w:hAnsi="仿宋_GB2312" w:eastAsia="仿宋_GB2312" w:cs="仿宋_GB2312"/>
                <w:sz w:val="30"/>
                <w:szCs w:val="30"/>
              </w:rPr>
            </w:pPr>
            <w:r>
              <w:rPr>
                <w:rFonts w:hint="eastAsia" w:ascii="仿宋_GB2312" w:hAnsi="仿宋_GB2312" w:eastAsia="仿宋_GB2312" w:cs="仿宋_GB2312"/>
                <w:spacing w:val="-6"/>
                <w:sz w:val="30"/>
                <w:szCs w:val="30"/>
              </w:rPr>
              <w:t>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43"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889" w:type="dxa"/>
            <w:shd w:val="clear" w:color="auto" w:fill="auto"/>
          </w:tcPr>
          <w:p>
            <w:pPr>
              <w:spacing w:before="135" w:line="157"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3</w:t>
            </w:r>
          </w:p>
        </w:tc>
        <w:tc>
          <w:tcPr>
            <w:tcW w:w="3366" w:type="dxa"/>
            <w:shd w:val="clear" w:color="auto" w:fill="auto"/>
          </w:tcPr>
          <w:p>
            <w:pPr>
              <w:spacing w:before="54" w:line="205" w:lineRule="auto"/>
              <w:ind w:left="102"/>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简易呼吸球囊</w:t>
            </w:r>
          </w:p>
        </w:tc>
        <w:tc>
          <w:tcPr>
            <w:tcW w:w="1318" w:type="dxa"/>
            <w:shd w:val="clear" w:color="auto" w:fill="auto"/>
          </w:tcPr>
          <w:p>
            <w:pPr>
              <w:spacing w:before="59" w:line="202"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只</w:t>
            </w:r>
          </w:p>
        </w:tc>
        <w:tc>
          <w:tcPr>
            <w:tcW w:w="1473" w:type="dxa"/>
            <w:shd w:val="clear" w:color="auto" w:fill="auto"/>
          </w:tcPr>
          <w:p>
            <w:pPr>
              <w:spacing w:before="137" w:line="262" w:lineRule="exact"/>
              <w:ind w:left="648"/>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43"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889" w:type="dxa"/>
            <w:shd w:val="clear" w:color="auto" w:fill="auto"/>
          </w:tcPr>
          <w:p>
            <w:pPr>
              <w:spacing w:before="146" w:line="163"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4</w:t>
            </w:r>
          </w:p>
        </w:tc>
        <w:tc>
          <w:tcPr>
            <w:tcW w:w="3366" w:type="dxa"/>
            <w:shd w:val="clear" w:color="auto" w:fill="auto"/>
          </w:tcPr>
          <w:p>
            <w:pPr>
              <w:spacing w:before="65" w:line="211" w:lineRule="auto"/>
              <w:ind w:left="102"/>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医用降温毯</w:t>
            </w:r>
          </w:p>
        </w:tc>
        <w:tc>
          <w:tcPr>
            <w:tcW w:w="1318" w:type="dxa"/>
            <w:shd w:val="clear" w:color="auto" w:fill="auto"/>
          </w:tcPr>
          <w:p>
            <w:pPr>
              <w:spacing w:before="70" w:line="208"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473" w:type="dxa"/>
            <w:shd w:val="clear" w:color="auto" w:fill="auto"/>
          </w:tcPr>
          <w:p>
            <w:pPr>
              <w:spacing w:before="146" w:line="163" w:lineRule="auto"/>
              <w:ind w:left="64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43" w:type="dxa"/>
            <w:vMerge w:val="continue"/>
            <w:tcBorders>
              <w:top w:val="nil"/>
            </w:tcBorders>
            <w:shd w:val="clear" w:color="auto" w:fill="auto"/>
          </w:tcPr>
          <w:p>
            <w:pPr>
              <w:rPr>
                <w:rFonts w:ascii="仿宋_GB2312" w:hAnsi="仿宋_GB2312" w:eastAsia="仿宋_GB2312" w:cs="仿宋_GB2312"/>
                <w:sz w:val="30"/>
                <w:szCs w:val="30"/>
              </w:rPr>
            </w:pPr>
          </w:p>
        </w:tc>
        <w:tc>
          <w:tcPr>
            <w:tcW w:w="889" w:type="dxa"/>
            <w:shd w:val="clear" w:color="auto" w:fill="auto"/>
          </w:tcPr>
          <w:p>
            <w:pPr>
              <w:spacing w:before="139" w:line="161"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5</w:t>
            </w:r>
          </w:p>
        </w:tc>
        <w:tc>
          <w:tcPr>
            <w:tcW w:w="3366" w:type="dxa"/>
            <w:shd w:val="clear" w:color="auto" w:fill="auto"/>
          </w:tcPr>
          <w:p>
            <w:pPr>
              <w:spacing w:before="85" w:line="193" w:lineRule="auto"/>
              <w:ind w:left="102"/>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升温仪</w:t>
            </w:r>
          </w:p>
        </w:tc>
        <w:tc>
          <w:tcPr>
            <w:tcW w:w="1318" w:type="dxa"/>
            <w:shd w:val="clear" w:color="auto" w:fill="auto"/>
          </w:tcPr>
          <w:p>
            <w:pPr>
              <w:spacing w:before="80" w:line="196"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473" w:type="dxa"/>
            <w:shd w:val="clear" w:color="auto" w:fill="auto"/>
          </w:tcPr>
          <w:p>
            <w:pPr>
              <w:spacing w:before="136" w:line="163" w:lineRule="auto"/>
              <w:ind w:left="648"/>
              <w:rPr>
                <w:rFonts w:ascii="仿宋_GB2312" w:hAnsi="仿宋_GB2312" w:eastAsia="仿宋_GB2312" w:cs="仿宋_GB2312"/>
                <w:sz w:val="30"/>
                <w:szCs w:val="30"/>
              </w:rPr>
            </w:pPr>
            <w:r>
              <w:rPr>
                <w:rFonts w:hint="eastAsia" w:ascii="仿宋_GB2312" w:hAnsi="仿宋_GB2312" w:eastAsia="仿宋_GB2312" w:cs="仿宋_GB2312"/>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43" w:type="dxa"/>
            <w:vMerge w:val="restart"/>
            <w:tcBorders>
              <w:bottom w:val="nil"/>
            </w:tcBorders>
            <w:shd w:val="clear" w:color="auto" w:fill="auto"/>
          </w:tcPr>
          <w:p>
            <w:pPr>
              <w:spacing w:before="281" w:line="235" w:lineRule="auto"/>
              <w:ind w:left="209" w:right="197"/>
              <w:rPr>
                <w:rFonts w:ascii="仿宋_GB2312" w:hAnsi="仿宋_GB2312" w:eastAsia="仿宋_GB2312" w:cs="仿宋_GB2312"/>
                <w:sz w:val="30"/>
                <w:szCs w:val="30"/>
              </w:rPr>
            </w:pPr>
            <w:r>
              <w:rPr>
                <w:rFonts w:hint="eastAsia" w:ascii="仿宋_GB2312" w:hAnsi="仿宋_GB2312" w:eastAsia="仿宋_GB2312" w:cs="仿宋_GB2312"/>
                <w:b/>
                <w:bCs/>
                <w:spacing w:val="-2"/>
                <w:sz w:val="30"/>
                <w:szCs w:val="30"/>
              </w:rPr>
              <w:t>呼吸</w:t>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b/>
                <w:bCs/>
                <w:spacing w:val="-10"/>
                <w:sz w:val="30"/>
                <w:szCs w:val="30"/>
              </w:rPr>
              <w:t>支持</w:t>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b/>
                <w:bCs/>
                <w:spacing w:val="-1"/>
                <w:sz w:val="30"/>
                <w:szCs w:val="30"/>
              </w:rPr>
              <w:t>设备</w:t>
            </w:r>
          </w:p>
        </w:tc>
        <w:tc>
          <w:tcPr>
            <w:tcW w:w="889" w:type="dxa"/>
            <w:shd w:val="clear" w:color="auto" w:fill="auto"/>
          </w:tcPr>
          <w:p>
            <w:pPr>
              <w:spacing w:before="136" w:line="263" w:lineRule="exact"/>
              <w:ind w:left="351"/>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6</w:t>
            </w:r>
          </w:p>
        </w:tc>
        <w:tc>
          <w:tcPr>
            <w:tcW w:w="3366" w:type="dxa"/>
            <w:shd w:val="clear" w:color="auto" w:fill="auto"/>
          </w:tcPr>
          <w:p>
            <w:pPr>
              <w:spacing w:before="54" w:line="205" w:lineRule="auto"/>
              <w:ind w:left="102"/>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高流量湿化氧疗系统</w:t>
            </w:r>
          </w:p>
        </w:tc>
        <w:tc>
          <w:tcPr>
            <w:tcW w:w="1318" w:type="dxa"/>
            <w:shd w:val="clear" w:color="auto" w:fill="auto"/>
          </w:tcPr>
          <w:p>
            <w:pPr>
              <w:spacing w:before="78" w:line="191"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473" w:type="dxa"/>
            <w:shd w:val="clear" w:color="auto" w:fill="auto"/>
          </w:tcPr>
          <w:p>
            <w:pPr>
              <w:spacing w:before="136" w:line="263" w:lineRule="exact"/>
              <w:ind w:left="648"/>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0" w:hRule="atLeast"/>
        </w:trPr>
        <w:tc>
          <w:tcPr>
            <w:tcW w:w="1043"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889" w:type="dxa"/>
            <w:shd w:val="clear" w:color="auto" w:fill="auto"/>
          </w:tcPr>
          <w:p>
            <w:pPr>
              <w:spacing w:before="169" w:line="241" w:lineRule="exact"/>
              <w:ind w:left="351"/>
              <w:rPr>
                <w:rFonts w:ascii="仿宋_GB2312" w:hAnsi="仿宋_GB2312" w:eastAsia="仿宋_GB2312" w:cs="仿宋_GB2312"/>
                <w:sz w:val="30"/>
                <w:szCs w:val="30"/>
              </w:rPr>
            </w:pPr>
            <w:r>
              <w:rPr>
                <w:rFonts w:hint="eastAsia" w:ascii="仿宋_GB2312" w:hAnsi="仿宋_GB2312" w:eastAsia="仿宋_GB2312" w:cs="仿宋_GB2312"/>
                <w:position w:val="-4"/>
                <w:sz w:val="30"/>
                <w:szCs w:val="30"/>
              </w:rPr>
              <w:t>7</w:t>
            </w:r>
          </w:p>
        </w:tc>
        <w:tc>
          <w:tcPr>
            <w:tcW w:w="3366" w:type="dxa"/>
            <w:shd w:val="clear" w:color="auto" w:fill="auto"/>
          </w:tcPr>
          <w:p>
            <w:pPr>
              <w:spacing w:before="95" w:line="187" w:lineRule="auto"/>
              <w:ind w:left="102"/>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无创呼吸机</w:t>
            </w:r>
          </w:p>
        </w:tc>
        <w:tc>
          <w:tcPr>
            <w:tcW w:w="1318" w:type="dxa"/>
            <w:shd w:val="clear" w:color="auto" w:fill="auto"/>
          </w:tcPr>
          <w:p>
            <w:pPr>
              <w:spacing w:before="80" w:line="196"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473" w:type="dxa"/>
            <w:shd w:val="clear" w:color="auto" w:fill="auto"/>
          </w:tcPr>
          <w:p>
            <w:pPr>
              <w:spacing w:before="137" w:line="162" w:lineRule="auto"/>
              <w:ind w:left="648"/>
              <w:rPr>
                <w:rFonts w:ascii="仿宋_GB2312" w:hAnsi="仿宋_GB2312" w:eastAsia="仿宋_GB2312" w:cs="仿宋_GB2312"/>
                <w:sz w:val="30"/>
                <w:szCs w:val="30"/>
              </w:rPr>
            </w:pPr>
            <w:r>
              <w:rPr>
                <w:rFonts w:hint="eastAsia" w:ascii="仿宋_GB2312" w:hAnsi="仿宋_GB2312" w:eastAsia="仿宋_GB2312" w:cs="仿宋_GB2312"/>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43"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889" w:type="dxa"/>
            <w:shd w:val="clear" w:color="auto" w:fill="auto"/>
          </w:tcPr>
          <w:p>
            <w:pPr>
              <w:spacing w:before="147" w:line="162"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8</w:t>
            </w:r>
          </w:p>
        </w:tc>
        <w:tc>
          <w:tcPr>
            <w:tcW w:w="3366" w:type="dxa"/>
            <w:shd w:val="clear" w:color="auto" w:fill="auto"/>
          </w:tcPr>
          <w:p>
            <w:pPr>
              <w:spacing w:before="65" w:line="211" w:lineRule="auto"/>
              <w:ind w:left="102"/>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有创呼吸机</w:t>
            </w:r>
          </w:p>
        </w:tc>
        <w:tc>
          <w:tcPr>
            <w:tcW w:w="1318" w:type="dxa"/>
            <w:shd w:val="clear" w:color="auto" w:fill="auto"/>
          </w:tcPr>
          <w:p>
            <w:pPr>
              <w:spacing w:before="70" w:line="208"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473" w:type="dxa"/>
            <w:shd w:val="clear" w:color="auto" w:fill="auto"/>
          </w:tcPr>
          <w:p>
            <w:pPr>
              <w:spacing w:before="147" w:line="162" w:lineRule="auto"/>
              <w:ind w:left="648"/>
              <w:rPr>
                <w:rFonts w:ascii="仿宋_GB2312" w:hAnsi="仿宋_GB2312" w:eastAsia="仿宋_GB2312" w:cs="仿宋_GB2312"/>
                <w:sz w:val="30"/>
                <w:szCs w:val="30"/>
              </w:rPr>
            </w:pPr>
            <w:r>
              <w:rPr>
                <w:rFonts w:hint="eastAsia" w:ascii="仿宋_GB2312" w:hAnsi="仿宋_GB2312" w:eastAsia="仿宋_GB2312" w:cs="仿宋_GB2312"/>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43" w:type="dxa"/>
            <w:vMerge w:val="continue"/>
            <w:tcBorders>
              <w:top w:val="nil"/>
            </w:tcBorders>
            <w:shd w:val="clear" w:color="auto" w:fill="auto"/>
          </w:tcPr>
          <w:p>
            <w:pPr>
              <w:rPr>
                <w:rFonts w:ascii="仿宋_GB2312" w:hAnsi="仿宋_GB2312" w:eastAsia="仿宋_GB2312" w:cs="仿宋_GB2312"/>
                <w:sz w:val="30"/>
                <w:szCs w:val="30"/>
              </w:rPr>
            </w:pPr>
          </w:p>
        </w:tc>
        <w:tc>
          <w:tcPr>
            <w:tcW w:w="889" w:type="dxa"/>
            <w:shd w:val="clear" w:color="auto" w:fill="auto"/>
          </w:tcPr>
          <w:p>
            <w:pPr>
              <w:spacing w:before="136" w:line="162"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9</w:t>
            </w:r>
          </w:p>
        </w:tc>
        <w:tc>
          <w:tcPr>
            <w:tcW w:w="3366" w:type="dxa"/>
            <w:shd w:val="clear" w:color="auto" w:fill="auto"/>
          </w:tcPr>
          <w:p>
            <w:pPr>
              <w:spacing w:before="136" w:line="162" w:lineRule="auto"/>
              <w:ind w:left="102"/>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ECMO</w:t>
            </w:r>
          </w:p>
        </w:tc>
        <w:tc>
          <w:tcPr>
            <w:tcW w:w="1318" w:type="dxa"/>
            <w:shd w:val="clear" w:color="auto" w:fill="auto"/>
          </w:tcPr>
          <w:p>
            <w:pPr>
              <w:spacing w:before="58" w:line="209"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473" w:type="dxa"/>
            <w:shd w:val="clear" w:color="auto" w:fill="auto"/>
          </w:tcPr>
          <w:p>
            <w:pPr>
              <w:spacing w:before="136" w:line="162" w:lineRule="auto"/>
              <w:ind w:left="64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43" w:type="dxa"/>
            <w:vMerge w:val="restart"/>
            <w:tcBorders>
              <w:bottom w:val="nil"/>
            </w:tcBorders>
            <w:shd w:val="clear" w:color="auto" w:fill="auto"/>
          </w:tcPr>
          <w:p>
            <w:pPr>
              <w:spacing w:before="253" w:line="243" w:lineRule="auto"/>
              <w:ind w:left="209" w:right="197"/>
              <w:rPr>
                <w:rFonts w:ascii="仿宋_GB2312" w:hAnsi="仿宋_GB2312" w:eastAsia="仿宋_GB2312" w:cs="仿宋_GB2312"/>
                <w:sz w:val="30"/>
                <w:szCs w:val="30"/>
              </w:rPr>
            </w:pPr>
            <w:r>
              <w:rPr>
                <w:rFonts w:hint="eastAsia" w:ascii="仿宋_GB2312" w:hAnsi="仿宋_GB2312" w:eastAsia="仿宋_GB2312" w:cs="仿宋_GB2312"/>
                <w:b/>
                <w:bCs/>
                <w:spacing w:val="-10"/>
                <w:sz w:val="30"/>
                <w:szCs w:val="30"/>
              </w:rPr>
              <w:t>其他</w:t>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b/>
                <w:bCs/>
                <w:spacing w:val="-10"/>
                <w:sz w:val="30"/>
                <w:szCs w:val="30"/>
              </w:rPr>
              <w:t>支持</w:t>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b/>
                <w:bCs/>
                <w:spacing w:val="-1"/>
                <w:sz w:val="30"/>
                <w:szCs w:val="30"/>
              </w:rPr>
              <w:t>设备</w:t>
            </w:r>
          </w:p>
        </w:tc>
        <w:tc>
          <w:tcPr>
            <w:tcW w:w="889" w:type="dxa"/>
            <w:shd w:val="clear" w:color="auto" w:fill="auto"/>
          </w:tcPr>
          <w:p>
            <w:pPr>
              <w:spacing w:before="137" w:line="262" w:lineRule="exact"/>
              <w:ind w:left="281"/>
              <w:rPr>
                <w:rFonts w:ascii="仿宋_GB2312" w:hAnsi="仿宋_GB2312" w:eastAsia="仿宋_GB2312" w:cs="仿宋_GB2312"/>
                <w:sz w:val="30"/>
                <w:szCs w:val="30"/>
              </w:rPr>
            </w:pPr>
            <w:r>
              <w:rPr>
                <w:rFonts w:hint="eastAsia" w:ascii="仿宋_GB2312" w:hAnsi="仿宋_GB2312" w:eastAsia="仿宋_GB2312" w:cs="仿宋_GB2312"/>
                <w:spacing w:val="-9"/>
                <w:position w:val="-3"/>
                <w:sz w:val="30"/>
                <w:szCs w:val="30"/>
              </w:rPr>
              <w:t>10</w:t>
            </w:r>
          </w:p>
        </w:tc>
        <w:tc>
          <w:tcPr>
            <w:tcW w:w="3366" w:type="dxa"/>
            <w:shd w:val="clear" w:color="auto" w:fill="auto"/>
          </w:tcPr>
          <w:p>
            <w:pPr>
              <w:spacing w:before="58" w:line="203" w:lineRule="auto"/>
              <w:ind w:left="102"/>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主动脉内球囊反搏泵</w:t>
            </w:r>
          </w:p>
        </w:tc>
        <w:tc>
          <w:tcPr>
            <w:tcW w:w="1318" w:type="dxa"/>
            <w:shd w:val="clear" w:color="auto" w:fill="auto"/>
          </w:tcPr>
          <w:p>
            <w:pPr>
              <w:spacing w:before="79" w:line="190"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473" w:type="dxa"/>
            <w:shd w:val="clear" w:color="auto" w:fill="auto"/>
          </w:tcPr>
          <w:p>
            <w:pPr>
              <w:spacing w:before="157" w:line="242" w:lineRule="exact"/>
              <w:ind w:left="648"/>
              <w:rPr>
                <w:rFonts w:ascii="仿宋_GB2312" w:hAnsi="仿宋_GB2312" w:eastAsia="仿宋_GB2312" w:cs="仿宋_GB2312"/>
                <w:sz w:val="30"/>
                <w:szCs w:val="30"/>
              </w:rPr>
            </w:pPr>
            <w:r>
              <w:rPr>
                <w:rFonts w:hint="eastAsia" w:ascii="仿宋_GB2312" w:hAnsi="仿宋_GB2312" w:eastAsia="仿宋_GB2312" w:cs="仿宋_GB2312"/>
                <w:position w:val="-4"/>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43"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889" w:type="dxa"/>
            <w:shd w:val="clear" w:color="auto" w:fill="auto"/>
          </w:tcPr>
          <w:p>
            <w:pPr>
              <w:spacing w:before="137" w:line="162" w:lineRule="auto"/>
              <w:ind w:left="281"/>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11</w:t>
            </w:r>
          </w:p>
        </w:tc>
        <w:tc>
          <w:tcPr>
            <w:tcW w:w="3366" w:type="dxa"/>
            <w:shd w:val="clear" w:color="auto" w:fill="auto"/>
          </w:tcPr>
          <w:p>
            <w:pPr>
              <w:spacing w:before="60" w:line="208" w:lineRule="auto"/>
              <w:ind w:left="102"/>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全自动连续血滤系统</w:t>
            </w:r>
          </w:p>
        </w:tc>
        <w:tc>
          <w:tcPr>
            <w:tcW w:w="1318" w:type="dxa"/>
            <w:shd w:val="clear" w:color="auto" w:fill="auto"/>
          </w:tcPr>
          <w:p>
            <w:pPr>
              <w:spacing w:before="80" w:line="196"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473" w:type="dxa"/>
            <w:shd w:val="clear" w:color="auto" w:fill="auto"/>
          </w:tcPr>
          <w:p>
            <w:pPr>
              <w:spacing w:before="139" w:line="161" w:lineRule="auto"/>
              <w:ind w:left="648"/>
              <w:rPr>
                <w:rFonts w:ascii="仿宋_GB2312" w:hAnsi="仿宋_GB2312" w:eastAsia="仿宋_GB2312" w:cs="仿宋_GB2312"/>
                <w:sz w:val="30"/>
                <w:szCs w:val="30"/>
              </w:rPr>
            </w:pPr>
            <w:r>
              <w:rPr>
                <w:rFonts w:hint="eastAsia" w:ascii="仿宋_GB2312" w:hAnsi="仿宋_GB2312" w:eastAsia="仿宋_GB2312" w:cs="仿宋_GB2312"/>
                <w:sz w:val="30"/>
                <w:szCs w:val="3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43"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889" w:type="dxa"/>
            <w:shd w:val="clear" w:color="auto" w:fill="auto"/>
          </w:tcPr>
          <w:p>
            <w:pPr>
              <w:spacing w:before="137" w:line="162" w:lineRule="auto"/>
              <w:ind w:left="281"/>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12</w:t>
            </w:r>
          </w:p>
        </w:tc>
        <w:tc>
          <w:tcPr>
            <w:tcW w:w="3366" w:type="dxa"/>
            <w:shd w:val="clear" w:color="auto" w:fill="auto"/>
          </w:tcPr>
          <w:p>
            <w:pPr>
              <w:spacing w:before="59" w:line="209" w:lineRule="auto"/>
              <w:ind w:left="102"/>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空气波压力治疗仪</w:t>
            </w:r>
          </w:p>
        </w:tc>
        <w:tc>
          <w:tcPr>
            <w:tcW w:w="1318" w:type="dxa"/>
            <w:shd w:val="clear" w:color="auto" w:fill="auto"/>
          </w:tcPr>
          <w:p>
            <w:pPr>
              <w:spacing w:before="80" w:line="196"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473" w:type="dxa"/>
            <w:shd w:val="clear" w:color="auto" w:fill="auto"/>
          </w:tcPr>
          <w:p>
            <w:pPr>
              <w:spacing w:before="139" w:line="161" w:lineRule="auto"/>
              <w:ind w:left="648"/>
              <w:rPr>
                <w:rFonts w:ascii="仿宋_GB2312" w:hAnsi="仿宋_GB2312" w:eastAsia="仿宋_GB2312" w:cs="仿宋_GB2312"/>
                <w:sz w:val="30"/>
                <w:szCs w:val="30"/>
              </w:rPr>
            </w:pPr>
            <w:r>
              <w:rPr>
                <w:rFonts w:hint="eastAsia" w:ascii="仿宋_GB2312" w:hAnsi="仿宋_GB2312" w:eastAsia="仿宋_GB2312" w:cs="仿宋_GB2312"/>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43" w:type="dxa"/>
            <w:vMerge w:val="continue"/>
            <w:tcBorders>
              <w:top w:val="nil"/>
            </w:tcBorders>
            <w:shd w:val="clear" w:color="auto" w:fill="auto"/>
          </w:tcPr>
          <w:p>
            <w:pPr>
              <w:rPr>
                <w:rFonts w:ascii="仿宋_GB2312" w:hAnsi="仿宋_GB2312" w:eastAsia="仿宋_GB2312" w:cs="仿宋_GB2312"/>
                <w:sz w:val="30"/>
                <w:szCs w:val="30"/>
              </w:rPr>
            </w:pPr>
          </w:p>
        </w:tc>
        <w:tc>
          <w:tcPr>
            <w:tcW w:w="889" w:type="dxa"/>
            <w:shd w:val="clear" w:color="auto" w:fill="auto"/>
          </w:tcPr>
          <w:p>
            <w:pPr>
              <w:spacing w:before="138" w:line="161" w:lineRule="auto"/>
              <w:ind w:left="281"/>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13</w:t>
            </w:r>
          </w:p>
        </w:tc>
        <w:tc>
          <w:tcPr>
            <w:tcW w:w="3366" w:type="dxa"/>
            <w:shd w:val="clear" w:color="auto" w:fill="auto"/>
          </w:tcPr>
          <w:p>
            <w:pPr>
              <w:spacing w:before="59" w:line="208" w:lineRule="auto"/>
              <w:ind w:left="102"/>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康复训练车</w:t>
            </w:r>
          </w:p>
        </w:tc>
        <w:tc>
          <w:tcPr>
            <w:tcW w:w="1318" w:type="dxa"/>
            <w:shd w:val="clear" w:color="auto" w:fill="auto"/>
          </w:tcPr>
          <w:p>
            <w:pPr>
              <w:spacing w:before="83" w:line="194"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473" w:type="dxa"/>
            <w:shd w:val="clear" w:color="auto" w:fill="auto"/>
          </w:tcPr>
          <w:p>
            <w:pPr>
              <w:spacing w:before="140" w:line="160" w:lineRule="auto"/>
              <w:ind w:left="648"/>
              <w:rPr>
                <w:rFonts w:ascii="仿宋_GB2312" w:hAnsi="仿宋_GB2312" w:eastAsia="仿宋_GB2312" w:cs="仿宋_GB2312"/>
                <w:sz w:val="30"/>
                <w:szCs w:val="30"/>
              </w:rPr>
            </w:pPr>
            <w:r>
              <w:rPr>
                <w:rFonts w:hint="eastAsia" w:ascii="仿宋_GB2312" w:hAnsi="仿宋_GB2312" w:eastAsia="仿宋_GB2312" w:cs="仿宋_GB2312"/>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43" w:type="dxa"/>
            <w:vMerge w:val="restart"/>
            <w:tcBorders>
              <w:bottom w:val="nil"/>
            </w:tcBorders>
            <w:shd w:val="clear" w:color="auto" w:fill="auto"/>
          </w:tcPr>
          <w:p>
            <w:pPr>
              <w:spacing w:before="49" w:line="229" w:lineRule="auto"/>
              <w:ind w:left="209" w:right="187"/>
              <w:rPr>
                <w:rFonts w:ascii="仿宋_GB2312" w:hAnsi="仿宋_GB2312" w:eastAsia="仿宋_GB2312" w:cs="仿宋_GB2312"/>
                <w:sz w:val="30"/>
                <w:szCs w:val="30"/>
              </w:rPr>
            </w:pPr>
            <w:r>
              <w:rPr>
                <w:rFonts w:hint="eastAsia" w:ascii="仿宋_GB2312" w:hAnsi="仿宋_GB2312" w:eastAsia="仿宋_GB2312" w:cs="仿宋_GB2312"/>
                <w:b/>
                <w:bCs/>
                <w:spacing w:val="5"/>
                <w:sz w:val="30"/>
                <w:szCs w:val="30"/>
              </w:rPr>
              <w:t>监测</w:t>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b/>
                <w:bCs/>
                <w:spacing w:val="-1"/>
                <w:sz w:val="30"/>
                <w:szCs w:val="30"/>
              </w:rPr>
              <w:t>设备</w:t>
            </w:r>
          </w:p>
        </w:tc>
        <w:tc>
          <w:tcPr>
            <w:tcW w:w="889" w:type="dxa"/>
            <w:shd w:val="clear" w:color="auto" w:fill="auto"/>
          </w:tcPr>
          <w:p>
            <w:pPr>
              <w:spacing w:before="139" w:line="260" w:lineRule="exact"/>
              <w:ind w:left="281"/>
              <w:rPr>
                <w:rFonts w:ascii="仿宋_GB2312" w:hAnsi="仿宋_GB2312" w:eastAsia="仿宋_GB2312" w:cs="仿宋_GB2312"/>
                <w:sz w:val="30"/>
                <w:szCs w:val="30"/>
              </w:rPr>
            </w:pPr>
            <w:r>
              <w:rPr>
                <w:rFonts w:hint="eastAsia" w:ascii="仿宋_GB2312" w:hAnsi="仿宋_GB2312" w:eastAsia="仿宋_GB2312" w:cs="仿宋_GB2312"/>
                <w:spacing w:val="-9"/>
                <w:position w:val="-3"/>
                <w:sz w:val="30"/>
                <w:szCs w:val="30"/>
              </w:rPr>
              <w:t>14</w:t>
            </w:r>
          </w:p>
        </w:tc>
        <w:tc>
          <w:tcPr>
            <w:tcW w:w="3366" w:type="dxa"/>
            <w:shd w:val="clear" w:color="auto" w:fill="auto"/>
          </w:tcPr>
          <w:p>
            <w:pPr>
              <w:spacing w:before="59" w:line="202" w:lineRule="auto"/>
              <w:ind w:left="102"/>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PICCO模块</w:t>
            </w:r>
          </w:p>
        </w:tc>
        <w:tc>
          <w:tcPr>
            <w:tcW w:w="1318" w:type="dxa"/>
            <w:shd w:val="clear" w:color="auto" w:fill="auto"/>
          </w:tcPr>
          <w:p>
            <w:pPr>
              <w:spacing w:before="81" w:line="189"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473" w:type="dxa"/>
            <w:shd w:val="clear" w:color="auto" w:fill="auto"/>
          </w:tcPr>
          <w:p>
            <w:pPr>
              <w:spacing w:before="140" w:line="259" w:lineRule="exact"/>
              <w:ind w:left="648"/>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43" w:type="dxa"/>
            <w:vMerge w:val="continue"/>
            <w:tcBorders>
              <w:top w:val="nil"/>
            </w:tcBorders>
            <w:shd w:val="clear" w:color="auto" w:fill="auto"/>
          </w:tcPr>
          <w:p>
            <w:pPr>
              <w:rPr>
                <w:rFonts w:ascii="仿宋_GB2312" w:hAnsi="仿宋_GB2312" w:eastAsia="仿宋_GB2312" w:cs="仿宋_GB2312"/>
                <w:sz w:val="30"/>
                <w:szCs w:val="30"/>
              </w:rPr>
            </w:pPr>
          </w:p>
        </w:tc>
        <w:tc>
          <w:tcPr>
            <w:tcW w:w="889" w:type="dxa"/>
            <w:shd w:val="clear" w:color="auto" w:fill="auto"/>
          </w:tcPr>
          <w:p>
            <w:pPr>
              <w:spacing w:before="141" w:line="160" w:lineRule="auto"/>
              <w:ind w:left="281"/>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15</w:t>
            </w:r>
          </w:p>
        </w:tc>
        <w:tc>
          <w:tcPr>
            <w:tcW w:w="3366" w:type="dxa"/>
            <w:shd w:val="clear" w:color="auto" w:fill="auto"/>
          </w:tcPr>
          <w:p>
            <w:pPr>
              <w:spacing w:before="90" w:line="190" w:lineRule="auto"/>
              <w:ind w:left="102"/>
              <w:rPr>
                <w:rFonts w:ascii="仿宋_GB2312" w:hAnsi="仿宋_GB2312" w:eastAsia="仿宋_GB2312" w:cs="仿宋_GB2312"/>
                <w:sz w:val="30"/>
                <w:szCs w:val="30"/>
              </w:rPr>
            </w:pPr>
            <w:r>
              <w:rPr>
                <w:rFonts w:hint="eastAsia" w:ascii="仿宋_GB2312" w:hAnsi="仿宋_GB2312" w:eastAsia="仿宋_GB2312" w:cs="仿宋_GB2312"/>
                <w:sz w:val="30"/>
                <w:szCs w:val="30"/>
              </w:rPr>
              <w:t>CO</w:t>
            </w:r>
            <w:r>
              <w:rPr>
                <w:rFonts w:hint="eastAsia" w:ascii="仿宋_GB2312" w:hAnsi="仿宋_GB2312" w:eastAsia="仿宋_GB2312" w:cs="仿宋_GB2312"/>
                <w:spacing w:val="6"/>
                <w:sz w:val="30"/>
                <w:szCs w:val="30"/>
              </w:rPr>
              <w:t>模块</w:t>
            </w:r>
          </w:p>
        </w:tc>
        <w:tc>
          <w:tcPr>
            <w:tcW w:w="1318" w:type="dxa"/>
            <w:shd w:val="clear" w:color="auto" w:fill="auto"/>
          </w:tcPr>
          <w:p>
            <w:pPr>
              <w:spacing w:before="62" w:line="207"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473" w:type="dxa"/>
            <w:shd w:val="clear" w:color="auto" w:fill="auto"/>
          </w:tcPr>
          <w:p>
            <w:pPr>
              <w:spacing w:before="141" w:line="160" w:lineRule="auto"/>
              <w:ind w:left="64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43" w:type="dxa"/>
            <w:vMerge w:val="restart"/>
            <w:tcBorders>
              <w:bottom w:val="nil"/>
            </w:tcBorders>
            <w:shd w:val="clear" w:color="auto" w:fill="auto"/>
          </w:tcPr>
          <w:p>
            <w:pPr>
              <w:spacing w:before="88" w:line="219" w:lineRule="auto"/>
              <w:ind w:left="209" w:right="197"/>
              <w:rPr>
                <w:rFonts w:ascii="仿宋_GB2312" w:hAnsi="仿宋_GB2312" w:eastAsia="仿宋_GB2312" w:cs="仿宋_GB2312"/>
                <w:sz w:val="30"/>
                <w:szCs w:val="30"/>
              </w:rPr>
            </w:pPr>
            <w:r>
              <w:rPr>
                <w:rFonts w:hint="eastAsia" w:ascii="仿宋_GB2312" w:hAnsi="仿宋_GB2312" w:eastAsia="仿宋_GB2312" w:cs="仿宋_GB2312"/>
                <w:b/>
                <w:bCs/>
                <w:spacing w:val="-10"/>
                <w:sz w:val="30"/>
                <w:szCs w:val="30"/>
              </w:rPr>
              <w:t>转运</w:t>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b/>
                <w:bCs/>
                <w:spacing w:val="-1"/>
                <w:sz w:val="30"/>
                <w:szCs w:val="30"/>
              </w:rPr>
              <w:t>设备</w:t>
            </w:r>
          </w:p>
        </w:tc>
        <w:tc>
          <w:tcPr>
            <w:tcW w:w="889" w:type="dxa"/>
            <w:shd w:val="clear" w:color="auto" w:fill="auto"/>
          </w:tcPr>
          <w:p>
            <w:pPr>
              <w:spacing w:before="139" w:line="161" w:lineRule="auto"/>
              <w:ind w:left="281"/>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16</w:t>
            </w:r>
          </w:p>
        </w:tc>
        <w:tc>
          <w:tcPr>
            <w:tcW w:w="3366" w:type="dxa"/>
            <w:shd w:val="clear" w:color="auto" w:fill="auto"/>
          </w:tcPr>
          <w:p>
            <w:pPr>
              <w:spacing w:before="70" w:line="202" w:lineRule="auto"/>
              <w:ind w:left="102"/>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转运监护仪</w:t>
            </w:r>
          </w:p>
        </w:tc>
        <w:tc>
          <w:tcPr>
            <w:tcW w:w="1318" w:type="dxa"/>
            <w:shd w:val="clear" w:color="auto" w:fill="auto"/>
          </w:tcPr>
          <w:p>
            <w:pPr>
              <w:spacing w:before="94" w:line="188"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473" w:type="dxa"/>
            <w:shd w:val="clear" w:color="auto" w:fill="auto"/>
          </w:tcPr>
          <w:p>
            <w:pPr>
              <w:spacing w:before="170" w:line="240" w:lineRule="exact"/>
              <w:ind w:left="648"/>
              <w:rPr>
                <w:rFonts w:ascii="仿宋_GB2312" w:hAnsi="仿宋_GB2312" w:eastAsia="仿宋_GB2312" w:cs="仿宋_GB2312"/>
                <w:sz w:val="30"/>
                <w:szCs w:val="30"/>
              </w:rPr>
            </w:pPr>
            <w:r>
              <w:rPr>
                <w:rFonts w:hint="eastAsia" w:ascii="仿宋_GB2312" w:hAnsi="仿宋_GB2312" w:eastAsia="仿宋_GB2312" w:cs="仿宋_GB2312"/>
                <w:position w:val="-4"/>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043" w:type="dxa"/>
            <w:vMerge w:val="continue"/>
            <w:tcBorders>
              <w:top w:val="nil"/>
            </w:tcBorders>
            <w:shd w:val="clear" w:color="auto" w:fill="auto"/>
          </w:tcPr>
          <w:p>
            <w:pPr>
              <w:rPr>
                <w:rFonts w:ascii="仿宋_GB2312" w:hAnsi="仿宋_GB2312" w:eastAsia="仿宋_GB2312" w:cs="仿宋_GB2312"/>
                <w:sz w:val="30"/>
                <w:szCs w:val="30"/>
              </w:rPr>
            </w:pPr>
          </w:p>
        </w:tc>
        <w:tc>
          <w:tcPr>
            <w:tcW w:w="889" w:type="dxa"/>
            <w:shd w:val="clear" w:color="auto" w:fill="auto"/>
          </w:tcPr>
          <w:p>
            <w:pPr>
              <w:spacing w:before="180" w:line="223" w:lineRule="exact"/>
              <w:ind w:left="281"/>
              <w:rPr>
                <w:rFonts w:ascii="仿宋_GB2312" w:hAnsi="仿宋_GB2312" w:eastAsia="仿宋_GB2312" w:cs="仿宋_GB2312"/>
                <w:sz w:val="30"/>
                <w:szCs w:val="30"/>
              </w:rPr>
            </w:pPr>
            <w:r>
              <w:rPr>
                <w:rFonts w:hint="eastAsia" w:ascii="仿宋_GB2312" w:hAnsi="仿宋_GB2312" w:eastAsia="仿宋_GB2312" w:cs="仿宋_GB2312"/>
                <w:spacing w:val="-9"/>
                <w:position w:val="-4"/>
                <w:sz w:val="30"/>
                <w:szCs w:val="30"/>
              </w:rPr>
              <w:t>17</w:t>
            </w:r>
          </w:p>
        </w:tc>
        <w:tc>
          <w:tcPr>
            <w:tcW w:w="3366" w:type="dxa"/>
            <w:shd w:val="clear" w:color="auto" w:fill="auto"/>
          </w:tcPr>
          <w:p>
            <w:pPr>
              <w:spacing w:before="100" w:line="187" w:lineRule="auto"/>
              <w:ind w:left="102"/>
              <w:rPr>
                <w:rFonts w:ascii="仿宋_GB2312" w:hAnsi="仿宋_GB2312" w:eastAsia="仿宋_GB2312" w:cs="仿宋_GB2312"/>
                <w:sz w:val="30"/>
                <w:szCs w:val="30"/>
              </w:rPr>
            </w:pPr>
            <w:r>
              <w:rPr>
                <w:rFonts w:hint="eastAsia" w:ascii="仿宋_GB2312" w:hAnsi="仿宋_GB2312" w:eastAsia="仿宋_GB2312" w:cs="仿宋_GB2312"/>
                <w:spacing w:val="12"/>
                <w:sz w:val="30"/>
                <w:szCs w:val="30"/>
              </w:rPr>
              <w:t>转运呼吸机</w:t>
            </w:r>
          </w:p>
        </w:tc>
        <w:tc>
          <w:tcPr>
            <w:tcW w:w="1318" w:type="dxa"/>
            <w:shd w:val="clear" w:color="auto" w:fill="auto"/>
          </w:tcPr>
          <w:p>
            <w:pPr>
              <w:spacing w:before="84" w:line="190" w:lineRule="auto"/>
              <w:ind w:left="49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473" w:type="dxa"/>
            <w:shd w:val="clear" w:color="auto" w:fill="auto"/>
          </w:tcPr>
          <w:p>
            <w:pPr>
              <w:spacing w:before="160" w:line="243" w:lineRule="exact"/>
              <w:ind w:left="648"/>
              <w:rPr>
                <w:rFonts w:ascii="仿宋_GB2312" w:hAnsi="仿宋_GB2312" w:eastAsia="仿宋_GB2312" w:cs="仿宋_GB2312"/>
                <w:sz w:val="30"/>
                <w:szCs w:val="30"/>
              </w:rPr>
            </w:pPr>
            <w:r>
              <w:rPr>
                <w:rFonts w:hint="eastAsia" w:ascii="仿宋_GB2312" w:hAnsi="仿宋_GB2312" w:eastAsia="仿宋_GB2312" w:cs="仿宋_GB2312"/>
                <w:position w:val="-4"/>
                <w:sz w:val="30"/>
                <w:szCs w:val="30"/>
              </w:rPr>
              <w:t>1</w:t>
            </w:r>
          </w:p>
        </w:tc>
      </w:tr>
    </w:tbl>
    <w:p>
      <w:pPr>
        <w:spacing w:before="91" w:line="560" w:lineRule="exact"/>
        <w:rPr>
          <w:rFonts w:ascii="方正黑体_GBK" w:hAnsi="方正黑体_GBK" w:eastAsia="方正黑体_GBK" w:cs="方正黑体_GBK"/>
          <w:spacing w:val="12"/>
          <w:sz w:val="32"/>
          <w:szCs w:val="32"/>
        </w:rPr>
      </w:pPr>
      <w:r>
        <w:rPr>
          <w:rFonts w:ascii="方正黑体_GBK" w:hAnsi="方正黑体_GBK" w:eastAsia="方正黑体_GBK" w:cs="方正黑体_GBK"/>
          <w:spacing w:val="12"/>
          <w:sz w:val="32"/>
          <w:szCs w:val="32"/>
        </w:rPr>
        <w:br w:type="page"/>
      </w:r>
    </w:p>
    <w:p>
      <w:pPr>
        <w:spacing w:before="91" w:line="560" w:lineRule="exact"/>
        <w:rPr>
          <w:rFonts w:ascii="方正黑体_GBK" w:hAnsi="方正黑体_GBK" w:eastAsia="方正黑体_GBK" w:cs="方正黑体_GBK"/>
          <w:spacing w:val="12"/>
          <w:sz w:val="32"/>
          <w:szCs w:val="32"/>
        </w:rPr>
      </w:pPr>
    </w:p>
    <w:p>
      <w:pPr>
        <w:spacing w:before="91" w:line="560" w:lineRule="exact"/>
        <w:rPr>
          <w:rFonts w:ascii="方正黑体_GBK" w:hAnsi="方正黑体_GBK" w:eastAsia="方正黑体_GBK" w:cs="方正黑体_GBK"/>
          <w:spacing w:val="12"/>
          <w:sz w:val="32"/>
          <w:szCs w:val="32"/>
        </w:rPr>
      </w:pPr>
      <w:r>
        <w:rPr>
          <w:rFonts w:hint="eastAsia" w:ascii="方正黑体_GBK" w:hAnsi="方正黑体_GBK" w:eastAsia="方正黑体_GBK" w:cs="方正黑体_GBK"/>
          <w:spacing w:val="12"/>
          <w:sz w:val="32"/>
          <w:szCs w:val="32"/>
        </w:rPr>
        <w:t>附件3</w:t>
      </w:r>
    </w:p>
    <w:p>
      <w:pPr>
        <w:spacing w:before="91" w:line="560" w:lineRule="exact"/>
        <w:ind w:left="88"/>
        <w:rPr>
          <w:rFonts w:ascii="黑体" w:hAnsi="黑体" w:eastAsia="黑体" w:cs="黑体"/>
          <w:b/>
          <w:bCs/>
          <w:spacing w:val="12"/>
          <w:sz w:val="28"/>
          <w:szCs w:val="28"/>
        </w:rPr>
      </w:pPr>
    </w:p>
    <w:p>
      <w:pPr>
        <w:spacing w:before="139" w:line="560" w:lineRule="exact"/>
        <w:ind w:left="341"/>
        <w:jc w:val="center"/>
        <w:rPr>
          <w:rFonts w:ascii="方正小标宋简体" w:hAnsi="方正小标宋_GBK" w:eastAsia="方正小标宋简体" w:cs="方正小标宋_GBK"/>
          <w:spacing w:val="16"/>
          <w:sz w:val="36"/>
          <w:szCs w:val="44"/>
        </w:rPr>
      </w:pPr>
      <w:r>
        <w:rPr>
          <w:rFonts w:hint="eastAsia" w:ascii="方正小标宋简体" w:hAnsi="方正小标宋_GBK" w:eastAsia="方正小标宋简体" w:cs="方正小标宋_GBK"/>
          <w:spacing w:val="16"/>
          <w:sz w:val="36"/>
          <w:szCs w:val="44"/>
        </w:rPr>
        <w:t>肾脏内科ICU转化为综合ICU增加设备清单</w:t>
      </w:r>
    </w:p>
    <w:p>
      <w:pPr>
        <w:spacing w:line="560" w:lineRule="exact"/>
        <w:ind w:left="1599"/>
        <w:rPr>
          <w:rFonts w:ascii="仿宋_GB2312" w:hAnsi="仿宋_GB2312" w:eastAsia="仿宋_GB2312" w:cs="仿宋_GB2312"/>
          <w:sz w:val="32"/>
          <w:szCs w:val="32"/>
        </w:rPr>
      </w:pPr>
      <w:r>
        <w:rPr>
          <w:rFonts w:hint="eastAsia" w:ascii="仿宋_GB2312" w:hAnsi="仿宋_GB2312" w:eastAsia="仿宋_GB2312" w:cs="仿宋_GB2312"/>
          <w:b/>
          <w:bCs/>
          <w:spacing w:val="3"/>
          <w:sz w:val="32"/>
          <w:szCs w:val="32"/>
        </w:rPr>
        <w:t>(每10张床位需要增加的设备建议清单)</w:t>
      </w:r>
    </w:p>
    <w:tbl>
      <w:tblPr>
        <w:tblStyle w:val="16"/>
        <w:tblW w:w="8350"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4"/>
        <w:gridCol w:w="889"/>
        <w:gridCol w:w="3566"/>
        <w:gridCol w:w="1318"/>
        <w:gridCol w:w="15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1034" w:type="dxa"/>
            <w:shd w:val="clear" w:color="auto" w:fill="auto"/>
          </w:tcPr>
          <w:p>
            <w:pPr>
              <w:spacing w:before="65" w:line="223" w:lineRule="auto"/>
              <w:ind w:left="199" w:right="192"/>
              <w:rPr>
                <w:rFonts w:ascii="仿宋_GB2312" w:hAnsi="仿宋_GB2312" w:eastAsia="仿宋_GB2312" w:cs="仿宋_GB2312"/>
                <w:b/>
                <w:bCs/>
                <w:sz w:val="30"/>
                <w:szCs w:val="30"/>
              </w:rPr>
            </w:pPr>
            <w:r>
              <w:rPr>
                <w:rFonts w:hint="eastAsia" w:ascii="仿宋_GB2312" w:hAnsi="仿宋_GB2312" w:eastAsia="仿宋_GB2312" w:cs="仿宋_GB2312"/>
                <w:b/>
                <w:bCs/>
                <w:spacing w:val="-1"/>
                <w:sz w:val="30"/>
                <w:szCs w:val="30"/>
              </w:rPr>
              <w:t>设备</w:t>
            </w:r>
            <w:r>
              <w:rPr>
                <w:rFonts w:hint="eastAsia" w:ascii="仿宋_GB2312" w:hAnsi="仿宋_GB2312" w:eastAsia="仿宋_GB2312" w:cs="仿宋_GB2312"/>
                <w:b/>
                <w:bCs/>
                <w:sz w:val="30"/>
                <w:szCs w:val="30"/>
              </w:rPr>
              <w:t xml:space="preserve"> </w:t>
            </w:r>
            <w:r>
              <w:rPr>
                <w:rFonts w:hint="eastAsia" w:ascii="仿宋_GB2312" w:hAnsi="仿宋_GB2312" w:eastAsia="仿宋_GB2312" w:cs="仿宋_GB2312"/>
                <w:b/>
                <w:bCs/>
                <w:spacing w:val="2"/>
                <w:sz w:val="30"/>
                <w:szCs w:val="30"/>
              </w:rPr>
              <w:t>类型</w:t>
            </w:r>
          </w:p>
        </w:tc>
        <w:tc>
          <w:tcPr>
            <w:tcW w:w="889" w:type="dxa"/>
            <w:shd w:val="clear" w:color="auto" w:fill="auto"/>
          </w:tcPr>
          <w:p>
            <w:pPr>
              <w:spacing w:before="255" w:line="221" w:lineRule="auto"/>
              <w:ind w:left="125"/>
              <w:rPr>
                <w:rFonts w:ascii="仿宋_GB2312" w:hAnsi="仿宋_GB2312" w:eastAsia="仿宋_GB2312" w:cs="仿宋_GB2312"/>
                <w:sz w:val="30"/>
                <w:szCs w:val="30"/>
              </w:rPr>
            </w:pPr>
            <w:r>
              <w:rPr>
                <w:rFonts w:hint="eastAsia" w:ascii="仿宋_GB2312" w:hAnsi="仿宋_GB2312" w:eastAsia="仿宋_GB2312" w:cs="仿宋_GB2312"/>
                <w:b/>
                <w:bCs/>
                <w:spacing w:val="1"/>
                <w:sz w:val="30"/>
                <w:szCs w:val="30"/>
              </w:rPr>
              <w:t>序号</w:t>
            </w:r>
          </w:p>
        </w:tc>
        <w:tc>
          <w:tcPr>
            <w:tcW w:w="3566" w:type="dxa"/>
            <w:shd w:val="clear" w:color="auto" w:fill="auto"/>
          </w:tcPr>
          <w:p>
            <w:pPr>
              <w:spacing w:before="255" w:line="221" w:lineRule="auto"/>
              <w:ind w:left="1126"/>
              <w:rPr>
                <w:rFonts w:ascii="仿宋_GB2312" w:hAnsi="仿宋_GB2312" w:eastAsia="仿宋_GB2312" w:cs="仿宋_GB2312"/>
                <w:sz w:val="30"/>
                <w:szCs w:val="30"/>
              </w:rPr>
            </w:pPr>
            <w:r>
              <w:rPr>
                <w:rFonts w:hint="eastAsia" w:ascii="仿宋_GB2312" w:hAnsi="仿宋_GB2312" w:eastAsia="仿宋_GB2312" w:cs="仿宋_GB2312"/>
                <w:b/>
                <w:bCs/>
                <w:spacing w:val="-2"/>
                <w:sz w:val="30"/>
                <w:szCs w:val="30"/>
              </w:rPr>
              <w:t>设备名称</w:t>
            </w:r>
          </w:p>
        </w:tc>
        <w:tc>
          <w:tcPr>
            <w:tcW w:w="1318" w:type="dxa"/>
            <w:shd w:val="clear" w:color="auto" w:fill="auto"/>
          </w:tcPr>
          <w:p>
            <w:pPr>
              <w:spacing w:before="254" w:line="220" w:lineRule="auto"/>
              <w:ind w:left="350"/>
              <w:rPr>
                <w:rFonts w:ascii="仿宋_GB2312" w:hAnsi="仿宋_GB2312" w:eastAsia="仿宋_GB2312" w:cs="仿宋_GB2312"/>
                <w:sz w:val="30"/>
                <w:szCs w:val="30"/>
              </w:rPr>
            </w:pPr>
            <w:r>
              <w:rPr>
                <w:rFonts w:hint="eastAsia" w:ascii="仿宋_GB2312" w:hAnsi="仿宋_GB2312" w:eastAsia="仿宋_GB2312" w:cs="仿宋_GB2312"/>
                <w:b/>
                <w:bCs/>
                <w:spacing w:val="-7"/>
                <w:sz w:val="30"/>
                <w:szCs w:val="30"/>
              </w:rPr>
              <w:t>单位</w:t>
            </w:r>
          </w:p>
        </w:tc>
        <w:tc>
          <w:tcPr>
            <w:tcW w:w="1543" w:type="dxa"/>
            <w:shd w:val="clear" w:color="auto" w:fill="auto"/>
          </w:tcPr>
          <w:p>
            <w:pPr>
              <w:spacing w:before="253" w:line="219" w:lineRule="auto"/>
              <w:ind w:left="462"/>
              <w:rPr>
                <w:rFonts w:ascii="仿宋_GB2312" w:hAnsi="仿宋_GB2312" w:eastAsia="仿宋_GB2312" w:cs="仿宋_GB2312"/>
                <w:sz w:val="30"/>
                <w:szCs w:val="30"/>
              </w:rPr>
            </w:pPr>
            <w:r>
              <w:rPr>
                <w:rFonts w:hint="eastAsia" w:ascii="仿宋_GB2312" w:hAnsi="仿宋_GB2312" w:eastAsia="仿宋_GB2312" w:cs="仿宋_GB2312"/>
                <w:b/>
                <w:bCs/>
                <w:spacing w:val="-7"/>
                <w:sz w:val="30"/>
                <w:szCs w:val="30"/>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34" w:type="dxa"/>
            <w:vMerge w:val="restart"/>
            <w:tcBorders>
              <w:bottom w:val="nil"/>
            </w:tcBorders>
            <w:shd w:val="clear" w:color="auto" w:fill="auto"/>
          </w:tcPr>
          <w:p>
            <w:pPr>
              <w:rPr>
                <w:rFonts w:ascii="仿宋_GB2312" w:hAnsi="仿宋_GB2312" w:eastAsia="仿宋_GB2312" w:cs="仿宋_GB2312"/>
                <w:b/>
                <w:bCs/>
                <w:sz w:val="30"/>
                <w:szCs w:val="30"/>
              </w:rPr>
            </w:pPr>
          </w:p>
          <w:p>
            <w:pPr>
              <w:pStyle w:val="2"/>
            </w:pPr>
          </w:p>
          <w:p>
            <w:pPr>
              <w:pStyle w:val="2"/>
            </w:pPr>
          </w:p>
          <w:p>
            <w:pPr>
              <w:spacing w:before="101" w:line="236" w:lineRule="auto"/>
              <w:ind w:right="196"/>
              <w:jc w:val="cente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基础</w:t>
            </w:r>
            <w:r>
              <w:rPr>
                <w:rFonts w:hint="eastAsia" w:ascii="仿宋_GB2312" w:hAnsi="仿宋_GB2312" w:eastAsia="仿宋_GB2312" w:cs="仿宋_GB2312"/>
                <w:b/>
                <w:bCs/>
                <w:spacing w:val="-1"/>
                <w:sz w:val="30"/>
                <w:szCs w:val="30"/>
              </w:rPr>
              <w:t>设备</w:t>
            </w:r>
          </w:p>
        </w:tc>
        <w:tc>
          <w:tcPr>
            <w:tcW w:w="889" w:type="dxa"/>
            <w:shd w:val="clear" w:color="auto" w:fill="auto"/>
          </w:tcPr>
          <w:p>
            <w:pPr>
              <w:spacing w:before="131" w:line="165"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c>
          <w:tcPr>
            <w:tcW w:w="3566" w:type="dxa"/>
            <w:shd w:val="clear" w:color="auto" w:fill="auto"/>
          </w:tcPr>
          <w:p>
            <w:pPr>
              <w:spacing w:before="58" w:line="209" w:lineRule="auto"/>
              <w:ind w:left="91"/>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加压袋</w:t>
            </w:r>
          </w:p>
        </w:tc>
        <w:tc>
          <w:tcPr>
            <w:tcW w:w="1318" w:type="dxa"/>
            <w:shd w:val="clear" w:color="auto" w:fill="auto"/>
          </w:tcPr>
          <w:p>
            <w:pPr>
              <w:spacing w:before="58" w:line="209"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只</w:t>
            </w:r>
          </w:p>
        </w:tc>
        <w:tc>
          <w:tcPr>
            <w:tcW w:w="1543" w:type="dxa"/>
            <w:shd w:val="clear" w:color="auto" w:fill="auto"/>
          </w:tcPr>
          <w:p>
            <w:pPr>
              <w:spacing w:before="135" w:line="163" w:lineRule="auto"/>
              <w:ind w:left="688"/>
              <w:rPr>
                <w:rFonts w:ascii="仿宋_GB2312" w:hAnsi="仿宋_GB2312" w:eastAsia="仿宋_GB2312" w:cs="仿宋_GB2312"/>
                <w:sz w:val="30"/>
                <w:szCs w:val="30"/>
              </w:rPr>
            </w:pPr>
            <w:r>
              <w:rPr>
                <w:rFonts w:hint="eastAsia" w:ascii="仿宋_GB2312" w:hAnsi="仿宋_GB2312" w:eastAsia="仿宋_GB2312" w:cs="仿宋_GB2312"/>
                <w:sz w:val="30"/>
                <w:szCs w:val="3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034" w:type="dxa"/>
            <w:vMerge w:val="continue"/>
            <w:tcBorders>
              <w:top w:val="nil"/>
              <w:bottom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94" w:line="183"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2</w:t>
            </w:r>
          </w:p>
        </w:tc>
        <w:tc>
          <w:tcPr>
            <w:tcW w:w="3566" w:type="dxa"/>
            <w:shd w:val="clear" w:color="auto" w:fill="auto"/>
          </w:tcPr>
          <w:p>
            <w:pPr>
              <w:spacing w:before="112" w:line="219" w:lineRule="auto"/>
              <w:ind w:left="91"/>
              <w:rPr>
                <w:rFonts w:ascii="仿宋_GB2312" w:hAnsi="仿宋_GB2312" w:eastAsia="仿宋_GB2312" w:cs="仿宋_GB2312"/>
                <w:sz w:val="30"/>
                <w:szCs w:val="30"/>
              </w:rPr>
            </w:pPr>
            <w:r>
              <w:rPr>
                <w:rFonts w:hint="eastAsia" w:ascii="仿宋_GB2312" w:hAnsi="仿宋_GB2312" w:eastAsia="仿宋_GB2312" w:cs="仿宋_GB2312"/>
                <w:spacing w:val="3"/>
                <w:sz w:val="30"/>
                <w:szCs w:val="30"/>
              </w:rPr>
              <w:t>精密注射泵</w:t>
            </w:r>
          </w:p>
        </w:tc>
        <w:tc>
          <w:tcPr>
            <w:tcW w:w="1318" w:type="dxa"/>
            <w:shd w:val="clear" w:color="auto" w:fill="auto"/>
          </w:tcPr>
          <w:p>
            <w:pPr>
              <w:spacing w:before="119" w:line="221"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543" w:type="dxa"/>
            <w:shd w:val="clear" w:color="auto" w:fill="auto"/>
          </w:tcPr>
          <w:p>
            <w:pPr>
              <w:spacing w:before="193" w:line="184" w:lineRule="auto"/>
              <w:ind w:left="378"/>
              <w:rPr>
                <w:rFonts w:ascii="仿宋_GB2312" w:hAnsi="仿宋_GB2312" w:eastAsia="仿宋_GB2312" w:cs="仿宋_GB2312"/>
                <w:sz w:val="30"/>
                <w:szCs w:val="30"/>
              </w:rPr>
            </w:pPr>
            <w:r>
              <w:rPr>
                <w:rFonts w:hint="eastAsia" w:ascii="仿宋_GB2312" w:hAnsi="仿宋_GB2312" w:eastAsia="仿宋_GB2312" w:cs="仿宋_GB2312"/>
                <w:spacing w:val="-6"/>
                <w:sz w:val="30"/>
                <w:szCs w:val="30"/>
              </w:rPr>
              <w:t>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34" w:type="dxa"/>
            <w:vMerge w:val="continue"/>
            <w:tcBorders>
              <w:top w:val="nil"/>
              <w:bottom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35" w:line="157"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3</w:t>
            </w:r>
          </w:p>
        </w:tc>
        <w:tc>
          <w:tcPr>
            <w:tcW w:w="3566" w:type="dxa"/>
            <w:shd w:val="clear" w:color="auto" w:fill="auto"/>
          </w:tcPr>
          <w:p>
            <w:pPr>
              <w:spacing w:before="54" w:line="205" w:lineRule="auto"/>
              <w:ind w:left="9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简易呼吸球囊</w:t>
            </w:r>
          </w:p>
        </w:tc>
        <w:tc>
          <w:tcPr>
            <w:tcW w:w="1318" w:type="dxa"/>
            <w:shd w:val="clear" w:color="auto" w:fill="auto"/>
          </w:tcPr>
          <w:p>
            <w:pPr>
              <w:spacing w:before="59" w:line="202"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只</w:t>
            </w:r>
          </w:p>
        </w:tc>
        <w:tc>
          <w:tcPr>
            <w:tcW w:w="1543" w:type="dxa"/>
            <w:shd w:val="clear" w:color="auto" w:fill="auto"/>
          </w:tcPr>
          <w:p>
            <w:pPr>
              <w:spacing w:before="137" w:line="262" w:lineRule="exact"/>
              <w:ind w:left="688"/>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34" w:type="dxa"/>
            <w:vMerge w:val="continue"/>
            <w:tcBorders>
              <w:top w:val="nil"/>
              <w:bottom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36" w:line="163"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4</w:t>
            </w:r>
          </w:p>
        </w:tc>
        <w:tc>
          <w:tcPr>
            <w:tcW w:w="3566" w:type="dxa"/>
            <w:shd w:val="clear" w:color="auto" w:fill="auto"/>
          </w:tcPr>
          <w:p>
            <w:pPr>
              <w:spacing w:before="55" w:line="211" w:lineRule="auto"/>
              <w:ind w:left="91"/>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排痰机</w:t>
            </w:r>
          </w:p>
        </w:tc>
        <w:tc>
          <w:tcPr>
            <w:tcW w:w="1318" w:type="dxa"/>
            <w:shd w:val="clear" w:color="auto" w:fill="auto"/>
          </w:tcPr>
          <w:p>
            <w:pPr>
              <w:spacing w:before="60" w:line="208"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543" w:type="dxa"/>
            <w:shd w:val="clear" w:color="auto" w:fill="auto"/>
          </w:tcPr>
          <w:p>
            <w:pPr>
              <w:spacing w:before="136" w:line="163" w:lineRule="auto"/>
              <w:ind w:left="688"/>
              <w:rPr>
                <w:rFonts w:ascii="仿宋_GB2312" w:hAnsi="仿宋_GB2312" w:eastAsia="仿宋_GB2312" w:cs="仿宋_GB2312"/>
                <w:sz w:val="30"/>
                <w:szCs w:val="30"/>
              </w:rPr>
            </w:pPr>
            <w:r>
              <w:rPr>
                <w:rFonts w:hint="eastAsia" w:ascii="仿宋_GB2312" w:hAnsi="仿宋_GB2312" w:eastAsia="仿宋_GB2312" w:cs="仿宋_GB2312"/>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34" w:type="dxa"/>
            <w:vMerge w:val="continue"/>
            <w:tcBorders>
              <w:top w:val="nil"/>
              <w:bottom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68" w:line="242" w:lineRule="exact"/>
              <w:ind w:left="351"/>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5</w:t>
            </w:r>
          </w:p>
        </w:tc>
        <w:tc>
          <w:tcPr>
            <w:tcW w:w="3566" w:type="dxa"/>
            <w:shd w:val="clear" w:color="auto" w:fill="auto"/>
          </w:tcPr>
          <w:p>
            <w:pPr>
              <w:spacing w:before="55" w:line="211" w:lineRule="auto"/>
              <w:ind w:left="9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医用降温毯</w:t>
            </w:r>
          </w:p>
        </w:tc>
        <w:tc>
          <w:tcPr>
            <w:tcW w:w="1318" w:type="dxa"/>
            <w:shd w:val="clear" w:color="auto" w:fill="auto"/>
          </w:tcPr>
          <w:p>
            <w:pPr>
              <w:spacing w:before="80" w:line="196"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543" w:type="dxa"/>
            <w:shd w:val="clear" w:color="auto" w:fill="auto"/>
          </w:tcPr>
          <w:p>
            <w:pPr>
              <w:spacing w:before="136" w:line="163" w:lineRule="auto"/>
              <w:ind w:left="68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34" w:type="dxa"/>
            <w:vMerge w:val="continue"/>
            <w:tcBorders>
              <w:top w:val="nil"/>
              <w:bottom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36" w:line="162"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6</w:t>
            </w:r>
          </w:p>
        </w:tc>
        <w:tc>
          <w:tcPr>
            <w:tcW w:w="3566" w:type="dxa"/>
            <w:shd w:val="clear" w:color="auto" w:fill="auto"/>
          </w:tcPr>
          <w:p>
            <w:pPr>
              <w:spacing w:before="56" w:line="210" w:lineRule="auto"/>
              <w:ind w:left="91"/>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升温仪</w:t>
            </w:r>
          </w:p>
        </w:tc>
        <w:tc>
          <w:tcPr>
            <w:tcW w:w="1318" w:type="dxa"/>
            <w:shd w:val="clear" w:color="auto" w:fill="auto"/>
          </w:tcPr>
          <w:p>
            <w:pPr>
              <w:spacing w:before="59" w:line="208"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543" w:type="dxa"/>
            <w:shd w:val="clear" w:color="auto" w:fill="auto"/>
          </w:tcPr>
          <w:p>
            <w:pPr>
              <w:spacing w:before="135" w:line="163" w:lineRule="auto"/>
              <w:ind w:left="68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34" w:type="dxa"/>
            <w:vMerge w:val="continue"/>
            <w:tcBorders>
              <w:top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39" w:line="161"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7</w:t>
            </w:r>
          </w:p>
        </w:tc>
        <w:tc>
          <w:tcPr>
            <w:tcW w:w="3566" w:type="dxa"/>
            <w:shd w:val="clear" w:color="auto" w:fill="auto"/>
          </w:tcPr>
          <w:p>
            <w:pPr>
              <w:spacing w:before="57" w:line="210" w:lineRule="auto"/>
              <w:ind w:left="91"/>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压力表</w:t>
            </w:r>
          </w:p>
        </w:tc>
        <w:tc>
          <w:tcPr>
            <w:tcW w:w="1318" w:type="dxa"/>
            <w:shd w:val="clear" w:color="auto" w:fill="auto"/>
          </w:tcPr>
          <w:p>
            <w:pPr>
              <w:spacing w:before="59" w:line="209"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543" w:type="dxa"/>
            <w:shd w:val="clear" w:color="auto" w:fill="auto"/>
          </w:tcPr>
          <w:p>
            <w:pPr>
              <w:spacing w:before="136" w:line="163" w:lineRule="auto"/>
              <w:ind w:left="68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34" w:type="dxa"/>
            <w:vMerge w:val="restart"/>
            <w:tcBorders>
              <w:bottom w:val="nil"/>
            </w:tcBorders>
            <w:shd w:val="clear" w:color="auto" w:fill="auto"/>
          </w:tcPr>
          <w:p>
            <w:pPr>
              <w:spacing w:line="293" w:lineRule="auto"/>
              <w:rPr>
                <w:rFonts w:ascii="仿宋_GB2312" w:hAnsi="仿宋_GB2312" w:eastAsia="仿宋_GB2312" w:cs="仿宋_GB2312"/>
                <w:b/>
                <w:bCs/>
                <w:sz w:val="30"/>
                <w:szCs w:val="30"/>
              </w:rPr>
            </w:pPr>
          </w:p>
          <w:p>
            <w:pPr>
              <w:spacing w:line="294" w:lineRule="auto"/>
              <w:rPr>
                <w:rFonts w:ascii="仿宋_GB2312" w:hAnsi="仿宋_GB2312" w:eastAsia="仿宋_GB2312" w:cs="仿宋_GB2312"/>
                <w:b/>
                <w:bCs/>
                <w:sz w:val="30"/>
                <w:szCs w:val="30"/>
              </w:rPr>
            </w:pPr>
          </w:p>
          <w:p>
            <w:pPr>
              <w:spacing w:before="101" w:line="239" w:lineRule="auto"/>
              <w:ind w:left="199" w:right="198"/>
              <w:jc w:val="center"/>
              <w:rPr>
                <w:rFonts w:ascii="仿宋_GB2312" w:hAnsi="仿宋_GB2312" w:eastAsia="仿宋_GB2312" w:cs="仿宋_GB2312"/>
                <w:b/>
                <w:bCs/>
                <w:sz w:val="30"/>
                <w:szCs w:val="30"/>
              </w:rPr>
            </w:pPr>
            <w:r>
              <w:rPr>
                <w:rFonts w:hint="eastAsia" w:ascii="仿宋_GB2312" w:hAnsi="仿宋_GB2312" w:eastAsia="仿宋_GB2312" w:cs="仿宋_GB2312"/>
                <w:b/>
                <w:bCs/>
                <w:spacing w:val="-2"/>
                <w:sz w:val="30"/>
                <w:szCs w:val="30"/>
              </w:rPr>
              <w:t>呼吸</w:t>
            </w:r>
            <w:r>
              <w:rPr>
                <w:rFonts w:hint="eastAsia" w:ascii="仿宋_GB2312" w:hAnsi="仿宋_GB2312" w:eastAsia="仿宋_GB2312" w:cs="仿宋_GB2312"/>
                <w:b/>
                <w:bCs/>
                <w:spacing w:val="-10"/>
                <w:sz w:val="30"/>
                <w:szCs w:val="30"/>
              </w:rPr>
              <w:t>支持</w:t>
            </w:r>
            <w:r>
              <w:rPr>
                <w:rFonts w:hint="eastAsia" w:ascii="仿宋_GB2312" w:hAnsi="仿宋_GB2312" w:eastAsia="仿宋_GB2312" w:cs="仿宋_GB2312"/>
                <w:b/>
                <w:bCs/>
                <w:spacing w:val="-1"/>
                <w:sz w:val="30"/>
                <w:szCs w:val="30"/>
              </w:rPr>
              <w:t>设备</w:t>
            </w:r>
          </w:p>
        </w:tc>
        <w:tc>
          <w:tcPr>
            <w:tcW w:w="889" w:type="dxa"/>
            <w:shd w:val="clear" w:color="auto" w:fill="auto"/>
          </w:tcPr>
          <w:p>
            <w:pPr>
              <w:spacing w:before="136" w:line="162" w:lineRule="auto"/>
              <w:ind w:left="351"/>
              <w:rPr>
                <w:rFonts w:ascii="仿宋_GB2312" w:hAnsi="仿宋_GB2312" w:eastAsia="仿宋_GB2312" w:cs="仿宋_GB2312"/>
                <w:sz w:val="30"/>
                <w:szCs w:val="30"/>
              </w:rPr>
            </w:pPr>
            <w:r>
              <w:rPr>
                <w:rFonts w:hint="eastAsia" w:ascii="仿宋_GB2312" w:hAnsi="仿宋_GB2312" w:eastAsia="仿宋_GB2312" w:cs="仿宋_GB2312"/>
                <w:sz w:val="30"/>
                <w:szCs w:val="30"/>
              </w:rPr>
              <w:t>8</w:t>
            </w:r>
          </w:p>
        </w:tc>
        <w:tc>
          <w:tcPr>
            <w:tcW w:w="3566" w:type="dxa"/>
            <w:shd w:val="clear" w:color="auto" w:fill="auto"/>
          </w:tcPr>
          <w:p>
            <w:pPr>
              <w:spacing w:before="56" w:line="210" w:lineRule="auto"/>
              <w:ind w:left="91"/>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高流量湿化氧疗系统</w:t>
            </w:r>
          </w:p>
        </w:tc>
        <w:tc>
          <w:tcPr>
            <w:tcW w:w="1318" w:type="dxa"/>
            <w:shd w:val="clear" w:color="auto" w:fill="auto"/>
          </w:tcPr>
          <w:p>
            <w:pPr>
              <w:spacing w:before="98" w:line="185"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543" w:type="dxa"/>
            <w:shd w:val="clear" w:color="auto" w:fill="auto"/>
          </w:tcPr>
          <w:p>
            <w:pPr>
              <w:spacing w:before="136" w:line="162" w:lineRule="auto"/>
              <w:ind w:left="688"/>
              <w:rPr>
                <w:rFonts w:ascii="仿宋_GB2312" w:hAnsi="仿宋_GB2312" w:eastAsia="仿宋_GB2312" w:cs="仿宋_GB2312"/>
                <w:sz w:val="30"/>
                <w:szCs w:val="30"/>
              </w:rPr>
            </w:pPr>
            <w:r>
              <w:rPr>
                <w:rFonts w:hint="eastAsia" w:ascii="仿宋_GB2312" w:hAnsi="仿宋_GB2312" w:eastAsia="仿宋_GB2312" w:cs="仿宋_GB2312"/>
                <w:sz w:val="30"/>
                <w:szCs w:val="3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034" w:type="dxa"/>
            <w:vMerge w:val="continue"/>
            <w:tcBorders>
              <w:top w:val="nil"/>
              <w:bottom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38" w:line="262" w:lineRule="exact"/>
              <w:ind w:left="351"/>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9</w:t>
            </w:r>
          </w:p>
        </w:tc>
        <w:tc>
          <w:tcPr>
            <w:tcW w:w="3566" w:type="dxa"/>
            <w:shd w:val="clear" w:color="auto" w:fill="auto"/>
          </w:tcPr>
          <w:p>
            <w:pPr>
              <w:spacing w:before="57" w:line="204" w:lineRule="auto"/>
              <w:ind w:left="9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无创呼吸机</w:t>
            </w:r>
          </w:p>
        </w:tc>
        <w:tc>
          <w:tcPr>
            <w:tcW w:w="1318" w:type="dxa"/>
            <w:shd w:val="clear" w:color="auto" w:fill="auto"/>
          </w:tcPr>
          <w:p>
            <w:pPr>
              <w:spacing w:before="62" w:line="201"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543" w:type="dxa"/>
            <w:shd w:val="clear" w:color="auto" w:fill="auto"/>
          </w:tcPr>
          <w:p>
            <w:pPr>
              <w:spacing w:before="138" w:line="262" w:lineRule="exact"/>
              <w:ind w:left="688"/>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34" w:type="dxa"/>
            <w:vMerge w:val="continue"/>
            <w:tcBorders>
              <w:top w:val="nil"/>
              <w:bottom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37" w:line="162" w:lineRule="auto"/>
              <w:ind w:left="280"/>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10</w:t>
            </w:r>
          </w:p>
        </w:tc>
        <w:tc>
          <w:tcPr>
            <w:tcW w:w="3566" w:type="dxa"/>
            <w:shd w:val="clear" w:color="auto" w:fill="auto"/>
          </w:tcPr>
          <w:p>
            <w:pPr>
              <w:spacing w:before="57" w:line="210" w:lineRule="auto"/>
              <w:ind w:left="9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有创呼吸机</w:t>
            </w:r>
          </w:p>
        </w:tc>
        <w:tc>
          <w:tcPr>
            <w:tcW w:w="1318" w:type="dxa"/>
            <w:shd w:val="clear" w:color="auto" w:fill="auto"/>
          </w:tcPr>
          <w:p>
            <w:pPr>
              <w:spacing w:before="62" w:line="207"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543" w:type="dxa"/>
            <w:shd w:val="clear" w:color="auto" w:fill="auto"/>
          </w:tcPr>
          <w:p>
            <w:pPr>
              <w:spacing w:before="141" w:line="160" w:lineRule="auto"/>
              <w:ind w:left="688"/>
              <w:rPr>
                <w:rFonts w:ascii="仿宋_GB2312" w:hAnsi="仿宋_GB2312" w:eastAsia="仿宋_GB2312" w:cs="仿宋_GB2312"/>
                <w:sz w:val="30"/>
                <w:szCs w:val="30"/>
              </w:rPr>
            </w:pPr>
            <w:r>
              <w:rPr>
                <w:rFonts w:hint="eastAsia" w:ascii="仿宋_GB2312" w:hAnsi="仿宋_GB2312" w:eastAsia="仿宋_GB2312" w:cs="仿宋_GB2312"/>
                <w:sz w:val="30"/>
                <w:szCs w:val="3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34" w:type="dxa"/>
            <w:vMerge w:val="continue"/>
            <w:tcBorders>
              <w:top w:val="nil"/>
              <w:bottom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37" w:line="262" w:lineRule="exact"/>
              <w:ind w:left="280"/>
              <w:rPr>
                <w:rFonts w:ascii="仿宋_GB2312" w:hAnsi="仿宋_GB2312" w:eastAsia="仿宋_GB2312" w:cs="仿宋_GB2312"/>
                <w:sz w:val="30"/>
                <w:szCs w:val="30"/>
              </w:rPr>
            </w:pPr>
            <w:r>
              <w:rPr>
                <w:rFonts w:hint="eastAsia" w:ascii="仿宋_GB2312" w:hAnsi="仿宋_GB2312" w:eastAsia="仿宋_GB2312" w:cs="仿宋_GB2312"/>
                <w:spacing w:val="-9"/>
                <w:position w:val="-3"/>
                <w:sz w:val="30"/>
                <w:szCs w:val="30"/>
              </w:rPr>
              <w:t>11</w:t>
            </w:r>
          </w:p>
        </w:tc>
        <w:tc>
          <w:tcPr>
            <w:tcW w:w="3566" w:type="dxa"/>
            <w:shd w:val="clear" w:color="auto" w:fill="auto"/>
          </w:tcPr>
          <w:p>
            <w:pPr>
              <w:spacing w:before="138" w:line="261" w:lineRule="exact"/>
              <w:ind w:left="91"/>
              <w:rPr>
                <w:rFonts w:ascii="仿宋_GB2312" w:hAnsi="仿宋_GB2312" w:eastAsia="仿宋_GB2312" w:cs="仿宋_GB2312"/>
                <w:sz w:val="30"/>
                <w:szCs w:val="30"/>
              </w:rPr>
            </w:pPr>
            <w:r>
              <w:rPr>
                <w:rFonts w:hint="eastAsia" w:ascii="仿宋_GB2312" w:hAnsi="仿宋_GB2312" w:eastAsia="仿宋_GB2312" w:cs="仿宋_GB2312"/>
                <w:spacing w:val="-2"/>
                <w:position w:val="-3"/>
                <w:sz w:val="30"/>
                <w:szCs w:val="30"/>
              </w:rPr>
              <w:t>ECMO</w:t>
            </w:r>
          </w:p>
        </w:tc>
        <w:tc>
          <w:tcPr>
            <w:tcW w:w="1318" w:type="dxa"/>
            <w:shd w:val="clear" w:color="auto" w:fill="auto"/>
          </w:tcPr>
          <w:p>
            <w:pPr>
              <w:spacing w:before="79" w:line="190"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543" w:type="dxa"/>
            <w:shd w:val="clear" w:color="auto" w:fill="auto"/>
          </w:tcPr>
          <w:p>
            <w:pPr>
              <w:spacing w:before="157" w:line="242" w:lineRule="exact"/>
              <w:ind w:left="688"/>
              <w:rPr>
                <w:rFonts w:ascii="仿宋_GB2312" w:hAnsi="仿宋_GB2312" w:eastAsia="仿宋_GB2312" w:cs="仿宋_GB2312"/>
                <w:sz w:val="30"/>
                <w:szCs w:val="30"/>
              </w:rPr>
            </w:pPr>
            <w:r>
              <w:rPr>
                <w:rFonts w:hint="eastAsia" w:ascii="仿宋_GB2312" w:hAnsi="仿宋_GB2312" w:eastAsia="仿宋_GB2312" w:cs="仿宋_GB2312"/>
                <w:position w:val="-4"/>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34" w:type="dxa"/>
            <w:vMerge w:val="continue"/>
            <w:tcBorders>
              <w:top w:val="nil"/>
              <w:bottom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37" w:line="162" w:lineRule="auto"/>
              <w:ind w:left="280"/>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12</w:t>
            </w:r>
          </w:p>
        </w:tc>
        <w:tc>
          <w:tcPr>
            <w:tcW w:w="3566" w:type="dxa"/>
            <w:shd w:val="clear" w:color="auto" w:fill="auto"/>
          </w:tcPr>
          <w:p>
            <w:pPr>
              <w:spacing w:before="99" w:line="185" w:lineRule="auto"/>
              <w:ind w:left="91"/>
              <w:rPr>
                <w:rFonts w:ascii="仿宋_GB2312" w:hAnsi="仿宋_GB2312" w:eastAsia="仿宋_GB2312" w:cs="仿宋_GB2312"/>
                <w:sz w:val="30"/>
                <w:szCs w:val="30"/>
              </w:rPr>
            </w:pPr>
            <w:r>
              <w:rPr>
                <w:rFonts w:hint="eastAsia" w:ascii="仿宋_GB2312" w:hAnsi="仿宋_GB2312" w:eastAsia="仿宋_GB2312" w:cs="仿宋_GB2312"/>
                <w:spacing w:val="3"/>
                <w:sz w:val="30"/>
                <w:szCs w:val="30"/>
              </w:rPr>
              <w:t>支气管镜</w:t>
            </w:r>
          </w:p>
        </w:tc>
        <w:tc>
          <w:tcPr>
            <w:tcW w:w="1318" w:type="dxa"/>
            <w:shd w:val="clear" w:color="auto" w:fill="auto"/>
          </w:tcPr>
          <w:p>
            <w:pPr>
              <w:spacing w:before="90" w:line="190"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543" w:type="dxa"/>
            <w:shd w:val="clear" w:color="auto" w:fill="auto"/>
          </w:tcPr>
          <w:p>
            <w:pPr>
              <w:spacing w:before="137" w:line="162" w:lineRule="auto"/>
              <w:ind w:left="68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034" w:type="dxa"/>
            <w:vMerge w:val="continue"/>
            <w:tcBorders>
              <w:top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38" w:line="262" w:lineRule="exact"/>
              <w:ind w:left="280"/>
              <w:rPr>
                <w:rFonts w:ascii="仿宋_GB2312" w:hAnsi="仿宋_GB2312" w:eastAsia="仿宋_GB2312" w:cs="仿宋_GB2312"/>
                <w:sz w:val="30"/>
                <w:szCs w:val="30"/>
              </w:rPr>
            </w:pPr>
            <w:r>
              <w:rPr>
                <w:rFonts w:hint="eastAsia" w:ascii="仿宋_GB2312" w:hAnsi="仿宋_GB2312" w:eastAsia="仿宋_GB2312" w:cs="仿宋_GB2312"/>
                <w:spacing w:val="-9"/>
                <w:position w:val="-3"/>
                <w:sz w:val="30"/>
                <w:szCs w:val="30"/>
              </w:rPr>
              <w:t>13</w:t>
            </w:r>
          </w:p>
        </w:tc>
        <w:tc>
          <w:tcPr>
            <w:tcW w:w="3566" w:type="dxa"/>
            <w:shd w:val="clear" w:color="auto" w:fill="auto"/>
          </w:tcPr>
          <w:p>
            <w:pPr>
              <w:spacing w:before="59" w:line="203" w:lineRule="auto"/>
              <w:ind w:left="9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一次性气管镜</w:t>
            </w:r>
          </w:p>
        </w:tc>
        <w:tc>
          <w:tcPr>
            <w:tcW w:w="1318" w:type="dxa"/>
            <w:shd w:val="clear" w:color="auto" w:fill="auto"/>
          </w:tcPr>
          <w:p>
            <w:pPr>
              <w:spacing w:before="62" w:line="201"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543" w:type="dxa"/>
            <w:shd w:val="clear" w:color="auto" w:fill="auto"/>
          </w:tcPr>
          <w:p>
            <w:pPr>
              <w:spacing w:before="139" w:line="261" w:lineRule="exact"/>
              <w:ind w:left="688"/>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34" w:type="dxa"/>
            <w:vMerge w:val="restart"/>
            <w:tcBorders>
              <w:bottom w:val="nil"/>
            </w:tcBorders>
            <w:shd w:val="clear" w:color="auto" w:fill="auto"/>
          </w:tcPr>
          <w:p>
            <w:pPr>
              <w:spacing w:before="86" w:line="220" w:lineRule="auto"/>
              <w:ind w:left="199"/>
              <w:rPr>
                <w:rFonts w:ascii="仿宋_GB2312" w:hAnsi="仿宋_GB2312" w:eastAsia="仿宋_GB2312" w:cs="仿宋_GB2312"/>
                <w:b/>
                <w:bCs/>
                <w:sz w:val="30"/>
                <w:szCs w:val="30"/>
              </w:rPr>
            </w:pPr>
            <w:r>
              <w:rPr>
                <w:rFonts w:hint="eastAsia" w:ascii="仿宋_GB2312" w:hAnsi="仿宋_GB2312" w:eastAsia="仿宋_GB2312" w:cs="仿宋_GB2312"/>
                <w:b/>
                <w:bCs/>
                <w:spacing w:val="-7"/>
                <w:sz w:val="30"/>
                <w:szCs w:val="30"/>
              </w:rPr>
              <w:t>其他</w:t>
            </w:r>
          </w:p>
          <w:p>
            <w:pPr>
              <w:spacing w:before="54" w:line="220" w:lineRule="auto"/>
              <w:ind w:left="195" w:right="194"/>
              <w:rPr>
                <w:rFonts w:ascii="仿宋_GB2312" w:hAnsi="仿宋_GB2312" w:eastAsia="仿宋_GB2312" w:cs="仿宋_GB2312"/>
                <w:b/>
                <w:bCs/>
                <w:sz w:val="30"/>
                <w:szCs w:val="30"/>
              </w:rPr>
            </w:pPr>
            <w:r>
              <w:rPr>
                <w:rFonts w:hint="eastAsia" w:ascii="仿宋_GB2312" w:hAnsi="仿宋_GB2312" w:eastAsia="仿宋_GB2312" w:cs="仿宋_GB2312"/>
                <w:b/>
                <w:bCs/>
                <w:spacing w:val="6"/>
                <w:sz w:val="30"/>
                <w:szCs w:val="30"/>
              </w:rPr>
              <w:t>支持</w:t>
            </w:r>
            <w:r>
              <w:rPr>
                <w:rFonts w:hint="eastAsia" w:ascii="仿宋_GB2312" w:hAnsi="仿宋_GB2312" w:eastAsia="仿宋_GB2312" w:cs="仿宋_GB2312"/>
                <w:b/>
                <w:bCs/>
                <w:spacing w:val="7"/>
                <w:sz w:val="30"/>
                <w:szCs w:val="30"/>
              </w:rPr>
              <w:t>设备</w:t>
            </w:r>
          </w:p>
        </w:tc>
        <w:tc>
          <w:tcPr>
            <w:tcW w:w="889" w:type="dxa"/>
            <w:shd w:val="clear" w:color="auto" w:fill="auto"/>
          </w:tcPr>
          <w:p>
            <w:pPr>
              <w:spacing w:before="138" w:line="161" w:lineRule="auto"/>
              <w:ind w:left="280"/>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14</w:t>
            </w:r>
          </w:p>
        </w:tc>
        <w:tc>
          <w:tcPr>
            <w:tcW w:w="3566" w:type="dxa"/>
            <w:shd w:val="clear" w:color="auto" w:fill="auto"/>
          </w:tcPr>
          <w:p>
            <w:pPr>
              <w:spacing w:before="59" w:line="208" w:lineRule="auto"/>
              <w:ind w:left="91"/>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主动脉内球囊反搏泵</w:t>
            </w:r>
          </w:p>
        </w:tc>
        <w:tc>
          <w:tcPr>
            <w:tcW w:w="1318" w:type="dxa"/>
            <w:shd w:val="clear" w:color="auto" w:fill="auto"/>
          </w:tcPr>
          <w:p>
            <w:pPr>
              <w:spacing w:before="89" w:line="190"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543" w:type="dxa"/>
            <w:shd w:val="clear" w:color="auto" w:fill="auto"/>
          </w:tcPr>
          <w:p>
            <w:pPr>
              <w:spacing w:before="168" w:line="241" w:lineRule="exact"/>
              <w:ind w:left="688"/>
              <w:rPr>
                <w:rFonts w:ascii="仿宋_GB2312" w:hAnsi="仿宋_GB2312" w:eastAsia="仿宋_GB2312" w:cs="仿宋_GB2312"/>
                <w:sz w:val="30"/>
                <w:szCs w:val="30"/>
              </w:rPr>
            </w:pPr>
            <w:r>
              <w:rPr>
                <w:rFonts w:hint="eastAsia" w:ascii="仿宋_GB2312" w:hAnsi="仿宋_GB2312" w:eastAsia="仿宋_GB2312" w:cs="仿宋_GB2312"/>
                <w:position w:val="-4"/>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34" w:type="dxa"/>
            <w:vMerge w:val="continue"/>
            <w:tcBorders>
              <w:top w:val="nil"/>
              <w:bottom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49" w:line="161" w:lineRule="auto"/>
              <w:ind w:left="280"/>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15</w:t>
            </w:r>
          </w:p>
        </w:tc>
        <w:tc>
          <w:tcPr>
            <w:tcW w:w="3566" w:type="dxa"/>
            <w:shd w:val="clear" w:color="auto" w:fill="auto"/>
          </w:tcPr>
          <w:p>
            <w:pPr>
              <w:spacing w:before="70" w:line="208" w:lineRule="auto"/>
              <w:ind w:left="91"/>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空气波压力治疗仪</w:t>
            </w:r>
          </w:p>
        </w:tc>
        <w:tc>
          <w:tcPr>
            <w:tcW w:w="1318" w:type="dxa"/>
            <w:shd w:val="clear" w:color="auto" w:fill="auto"/>
          </w:tcPr>
          <w:p>
            <w:pPr>
              <w:spacing w:before="72" w:line="207"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543" w:type="dxa"/>
            <w:shd w:val="clear" w:color="auto" w:fill="auto"/>
          </w:tcPr>
          <w:p>
            <w:pPr>
              <w:spacing w:before="151" w:line="160" w:lineRule="auto"/>
              <w:ind w:left="688"/>
              <w:rPr>
                <w:rFonts w:ascii="仿宋_GB2312" w:hAnsi="仿宋_GB2312" w:eastAsia="仿宋_GB2312" w:cs="仿宋_GB2312"/>
                <w:sz w:val="30"/>
                <w:szCs w:val="30"/>
              </w:rPr>
            </w:pPr>
            <w:r>
              <w:rPr>
                <w:rFonts w:hint="eastAsia" w:ascii="仿宋_GB2312" w:hAnsi="仿宋_GB2312" w:eastAsia="仿宋_GB2312" w:cs="仿宋_GB2312"/>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34" w:type="dxa"/>
            <w:vMerge w:val="continue"/>
            <w:tcBorders>
              <w:top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39" w:line="261" w:lineRule="exact"/>
              <w:ind w:left="280"/>
              <w:rPr>
                <w:rFonts w:ascii="仿宋_GB2312" w:hAnsi="仿宋_GB2312" w:eastAsia="仿宋_GB2312" w:cs="仿宋_GB2312"/>
                <w:sz w:val="30"/>
                <w:szCs w:val="30"/>
              </w:rPr>
            </w:pPr>
            <w:r>
              <w:rPr>
                <w:rFonts w:hint="eastAsia" w:ascii="仿宋_GB2312" w:hAnsi="仿宋_GB2312" w:eastAsia="仿宋_GB2312" w:cs="仿宋_GB2312"/>
                <w:spacing w:val="-9"/>
                <w:position w:val="-3"/>
                <w:sz w:val="30"/>
                <w:szCs w:val="30"/>
              </w:rPr>
              <w:t>16</w:t>
            </w:r>
          </w:p>
        </w:tc>
        <w:tc>
          <w:tcPr>
            <w:tcW w:w="3566" w:type="dxa"/>
            <w:shd w:val="clear" w:color="auto" w:fill="auto"/>
          </w:tcPr>
          <w:p>
            <w:pPr>
              <w:spacing w:before="60" w:line="202" w:lineRule="auto"/>
              <w:ind w:left="9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康复训练车</w:t>
            </w:r>
          </w:p>
        </w:tc>
        <w:tc>
          <w:tcPr>
            <w:tcW w:w="1318" w:type="dxa"/>
            <w:shd w:val="clear" w:color="auto" w:fill="auto"/>
          </w:tcPr>
          <w:p>
            <w:pPr>
              <w:spacing w:before="64" w:line="200"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543" w:type="dxa"/>
            <w:shd w:val="clear" w:color="auto" w:fill="auto"/>
          </w:tcPr>
          <w:p>
            <w:pPr>
              <w:spacing w:before="140" w:line="260" w:lineRule="exact"/>
              <w:ind w:left="688"/>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034" w:type="dxa"/>
            <w:vMerge w:val="restart"/>
            <w:tcBorders>
              <w:bottom w:val="nil"/>
            </w:tcBorders>
            <w:shd w:val="clear" w:color="auto" w:fill="auto"/>
          </w:tcPr>
          <w:p>
            <w:pPr>
              <w:spacing w:before="83" w:line="216" w:lineRule="auto"/>
              <w:ind w:left="195" w:right="183"/>
              <w:rPr>
                <w:rFonts w:ascii="仿宋_GB2312" w:hAnsi="仿宋_GB2312" w:eastAsia="仿宋_GB2312" w:cs="仿宋_GB2312"/>
                <w:b/>
                <w:bCs/>
                <w:sz w:val="30"/>
                <w:szCs w:val="30"/>
              </w:rPr>
            </w:pPr>
            <w:r>
              <w:rPr>
                <w:rFonts w:hint="eastAsia" w:ascii="仿宋_GB2312" w:hAnsi="仿宋_GB2312" w:eastAsia="仿宋_GB2312" w:cs="仿宋_GB2312"/>
                <w:b/>
                <w:bCs/>
                <w:spacing w:val="6"/>
                <w:sz w:val="30"/>
                <w:szCs w:val="30"/>
              </w:rPr>
              <w:t>监测 设备</w:t>
            </w:r>
          </w:p>
        </w:tc>
        <w:tc>
          <w:tcPr>
            <w:tcW w:w="889" w:type="dxa"/>
            <w:shd w:val="clear" w:color="auto" w:fill="auto"/>
          </w:tcPr>
          <w:p>
            <w:pPr>
              <w:spacing w:before="129" w:line="259" w:lineRule="exact"/>
              <w:ind w:left="280"/>
              <w:rPr>
                <w:rFonts w:ascii="仿宋_GB2312" w:hAnsi="仿宋_GB2312" w:eastAsia="仿宋_GB2312" w:cs="仿宋_GB2312"/>
                <w:sz w:val="30"/>
                <w:szCs w:val="30"/>
              </w:rPr>
            </w:pPr>
            <w:r>
              <w:rPr>
                <w:rFonts w:hint="eastAsia" w:ascii="仿宋_GB2312" w:hAnsi="仿宋_GB2312" w:eastAsia="仿宋_GB2312" w:cs="仿宋_GB2312"/>
                <w:spacing w:val="-9"/>
                <w:position w:val="-3"/>
                <w:sz w:val="30"/>
                <w:szCs w:val="30"/>
              </w:rPr>
              <w:t>17</w:t>
            </w:r>
          </w:p>
        </w:tc>
        <w:tc>
          <w:tcPr>
            <w:tcW w:w="3566" w:type="dxa"/>
            <w:shd w:val="clear" w:color="auto" w:fill="auto"/>
          </w:tcPr>
          <w:p>
            <w:pPr>
              <w:spacing w:before="49" w:line="202" w:lineRule="auto"/>
              <w:ind w:left="91"/>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PICCO模块</w:t>
            </w:r>
          </w:p>
        </w:tc>
        <w:tc>
          <w:tcPr>
            <w:tcW w:w="1318" w:type="dxa"/>
            <w:shd w:val="clear" w:color="auto" w:fill="auto"/>
          </w:tcPr>
          <w:p>
            <w:pPr>
              <w:spacing w:before="81" w:line="189"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543" w:type="dxa"/>
            <w:shd w:val="clear" w:color="auto" w:fill="auto"/>
          </w:tcPr>
          <w:p>
            <w:pPr>
              <w:spacing w:before="130" w:line="258" w:lineRule="exact"/>
              <w:ind w:left="688"/>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34" w:type="dxa"/>
            <w:vMerge w:val="continue"/>
            <w:tcBorders>
              <w:top w:val="nil"/>
            </w:tcBorders>
            <w:shd w:val="clear" w:color="auto" w:fill="auto"/>
          </w:tcPr>
          <w:p>
            <w:pPr>
              <w:rPr>
                <w:rFonts w:ascii="仿宋_GB2312" w:hAnsi="仿宋_GB2312" w:eastAsia="仿宋_GB2312" w:cs="仿宋_GB2312"/>
                <w:b/>
                <w:bCs/>
                <w:sz w:val="30"/>
                <w:szCs w:val="30"/>
              </w:rPr>
            </w:pPr>
          </w:p>
        </w:tc>
        <w:tc>
          <w:tcPr>
            <w:tcW w:w="889" w:type="dxa"/>
            <w:shd w:val="clear" w:color="auto" w:fill="auto"/>
          </w:tcPr>
          <w:p>
            <w:pPr>
              <w:spacing w:before="139" w:line="161" w:lineRule="auto"/>
              <w:ind w:left="280"/>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18</w:t>
            </w:r>
          </w:p>
        </w:tc>
        <w:tc>
          <w:tcPr>
            <w:tcW w:w="3566" w:type="dxa"/>
            <w:shd w:val="clear" w:color="auto" w:fill="auto"/>
          </w:tcPr>
          <w:p>
            <w:pPr>
              <w:spacing w:before="60" w:line="208" w:lineRule="auto"/>
              <w:ind w:left="91"/>
              <w:rPr>
                <w:rFonts w:ascii="仿宋_GB2312" w:hAnsi="仿宋_GB2312" w:eastAsia="仿宋_GB2312" w:cs="仿宋_GB2312"/>
                <w:sz w:val="30"/>
                <w:szCs w:val="30"/>
              </w:rPr>
            </w:pPr>
            <w:r>
              <w:rPr>
                <w:rFonts w:hint="eastAsia" w:ascii="仿宋_GB2312" w:hAnsi="仿宋_GB2312" w:eastAsia="仿宋_GB2312" w:cs="仿宋_GB2312"/>
                <w:spacing w:val="3"/>
                <w:sz w:val="30"/>
                <w:szCs w:val="30"/>
              </w:rPr>
              <w:t>C0模块</w:t>
            </w:r>
          </w:p>
        </w:tc>
        <w:tc>
          <w:tcPr>
            <w:tcW w:w="1318" w:type="dxa"/>
            <w:shd w:val="clear" w:color="auto" w:fill="auto"/>
          </w:tcPr>
          <w:p>
            <w:pPr>
              <w:spacing w:before="92" w:line="189"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543" w:type="dxa"/>
            <w:shd w:val="clear" w:color="auto" w:fill="auto"/>
          </w:tcPr>
          <w:p>
            <w:pPr>
              <w:spacing w:before="139" w:line="161" w:lineRule="auto"/>
              <w:ind w:left="68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034" w:type="dxa"/>
            <w:vMerge w:val="restart"/>
            <w:tcBorders>
              <w:bottom w:val="nil"/>
            </w:tcBorders>
            <w:shd w:val="clear" w:color="auto" w:fill="auto"/>
          </w:tcPr>
          <w:p>
            <w:pPr>
              <w:spacing w:before="92" w:line="212" w:lineRule="auto"/>
              <w:ind w:left="195" w:right="194"/>
              <w:rPr>
                <w:rFonts w:ascii="仿宋_GB2312" w:hAnsi="仿宋_GB2312" w:eastAsia="仿宋_GB2312" w:cs="仿宋_GB2312"/>
                <w:b/>
                <w:bCs/>
                <w:sz w:val="30"/>
                <w:szCs w:val="30"/>
              </w:rPr>
            </w:pPr>
            <w:r>
              <w:rPr>
                <w:rFonts w:hint="eastAsia" w:ascii="仿宋_GB2312" w:hAnsi="仿宋_GB2312" w:eastAsia="仿宋_GB2312" w:cs="仿宋_GB2312"/>
                <w:b/>
                <w:bCs/>
                <w:spacing w:val="6"/>
                <w:sz w:val="30"/>
                <w:szCs w:val="30"/>
              </w:rPr>
              <w:t>转运 设备</w:t>
            </w:r>
          </w:p>
        </w:tc>
        <w:tc>
          <w:tcPr>
            <w:tcW w:w="889" w:type="dxa"/>
            <w:shd w:val="clear" w:color="auto" w:fill="auto"/>
          </w:tcPr>
          <w:p>
            <w:pPr>
              <w:spacing w:before="140" w:line="260" w:lineRule="exact"/>
              <w:ind w:left="280"/>
              <w:rPr>
                <w:rFonts w:ascii="仿宋_GB2312" w:hAnsi="仿宋_GB2312" w:eastAsia="仿宋_GB2312" w:cs="仿宋_GB2312"/>
                <w:sz w:val="30"/>
                <w:szCs w:val="30"/>
              </w:rPr>
            </w:pPr>
            <w:r>
              <w:rPr>
                <w:rFonts w:hint="eastAsia" w:ascii="仿宋_GB2312" w:hAnsi="仿宋_GB2312" w:eastAsia="仿宋_GB2312" w:cs="仿宋_GB2312"/>
                <w:spacing w:val="-9"/>
                <w:position w:val="-3"/>
                <w:sz w:val="30"/>
                <w:szCs w:val="30"/>
              </w:rPr>
              <w:t>19</w:t>
            </w:r>
          </w:p>
        </w:tc>
        <w:tc>
          <w:tcPr>
            <w:tcW w:w="3566" w:type="dxa"/>
            <w:shd w:val="clear" w:color="auto" w:fill="auto"/>
          </w:tcPr>
          <w:p>
            <w:pPr>
              <w:spacing w:before="60" w:line="202" w:lineRule="auto"/>
              <w:ind w:left="9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转运监护仪</w:t>
            </w:r>
          </w:p>
        </w:tc>
        <w:tc>
          <w:tcPr>
            <w:tcW w:w="1318" w:type="dxa"/>
            <w:shd w:val="clear" w:color="auto" w:fill="auto"/>
          </w:tcPr>
          <w:p>
            <w:pPr>
              <w:spacing w:before="84" w:line="188"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543" w:type="dxa"/>
            <w:shd w:val="clear" w:color="auto" w:fill="auto"/>
          </w:tcPr>
          <w:p>
            <w:pPr>
              <w:spacing w:before="160" w:line="240" w:lineRule="exact"/>
              <w:ind w:left="688"/>
              <w:rPr>
                <w:rFonts w:ascii="仿宋_GB2312" w:hAnsi="仿宋_GB2312" w:eastAsia="仿宋_GB2312" w:cs="仿宋_GB2312"/>
                <w:sz w:val="30"/>
                <w:szCs w:val="30"/>
              </w:rPr>
            </w:pPr>
            <w:r>
              <w:rPr>
                <w:rFonts w:hint="eastAsia" w:ascii="仿宋_GB2312" w:hAnsi="仿宋_GB2312" w:eastAsia="仿宋_GB2312" w:cs="仿宋_GB2312"/>
                <w:position w:val="-4"/>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1034" w:type="dxa"/>
            <w:vMerge w:val="continue"/>
            <w:tcBorders>
              <w:top w:val="nil"/>
            </w:tcBorders>
            <w:shd w:val="clear" w:color="auto" w:fill="auto"/>
          </w:tcPr>
          <w:p>
            <w:pPr>
              <w:rPr>
                <w:rFonts w:ascii="仿宋_GB2312" w:hAnsi="仿宋_GB2312" w:eastAsia="仿宋_GB2312" w:cs="仿宋_GB2312"/>
                <w:sz w:val="30"/>
                <w:szCs w:val="30"/>
              </w:rPr>
            </w:pPr>
          </w:p>
        </w:tc>
        <w:tc>
          <w:tcPr>
            <w:tcW w:w="889" w:type="dxa"/>
            <w:shd w:val="clear" w:color="auto" w:fill="auto"/>
          </w:tcPr>
          <w:p>
            <w:pPr>
              <w:spacing w:before="131" w:line="262" w:lineRule="exact"/>
              <w:ind w:left="280"/>
              <w:rPr>
                <w:rFonts w:ascii="仿宋_GB2312" w:hAnsi="仿宋_GB2312" w:eastAsia="仿宋_GB2312" w:cs="仿宋_GB2312"/>
                <w:sz w:val="30"/>
                <w:szCs w:val="30"/>
              </w:rPr>
            </w:pPr>
            <w:r>
              <w:rPr>
                <w:rFonts w:hint="eastAsia" w:ascii="仿宋_GB2312" w:hAnsi="仿宋_GB2312" w:eastAsia="仿宋_GB2312" w:cs="仿宋_GB2312"/>
                <w:spacing w:val="-4"/>
                <w:position w:val="-3"/>
                <w:sz w:val="30"/>
                <w:szCs w:val="30"/>
              </w:rPr>
              <w:t>20</w:t>
            </w:r>
          </w:p>
        </w:tc>
        <w:tc>
          <w:tcPr>
            <w:tcW w:w="3566" w:type="dxa"/>
            <w:shd w:val="clear" w:color="auto" w:fill="auto"/>
          </w:tcPr>
          <w:p>
            <w:pPr>
              <w:spacing w:before="49" w:line="205" w:lineRule="auto"/>
              <w:ind w:left="9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转运呼吸机</w:t>
            </w:r>
          </w:p>
        </w:tc>
        <w:tc>
          <w:tcPr>
            <w:tcW w:w="1318" w:type="dxa"/>
            <w:shd w:val="clear" w:color="auto" w:fill="auto"/>
          </w:tcPr>
          <w:p>
            <w:pPr>
              <w:spacing w:before="85" w:line="190" w:lineRule="auto"/>
              <w:ind w:left="495"/>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543" w:type="dxa"/>
            <w:shd w:val="clear" w:color="auto" w:fill="auto"/>
          </w:tcPr>
          <w:p>
            <w:pPr>
              <w:spacing w:before="160" w:line="233" w:lineRule="exact"/>
              <w:ind w:left="688"/>
              <w:rPr>
                <w:rFonts w:ascii="仿宋_GB2312" w:hAnsi="仿宋_GB2312" w:eastAsia="仿宋_GB2312" w:cs="仿宋_GB2312"/>
                <w:sz w:val="30"/>
                <w:szCs w:val="30"/>
              </w:rPr>
            </w:pPr>
            <w:r>
              <w:rPr>
                <w:rFonts w:hint="eastAsia" w:ascii="仿宋_GB2312" w:hAnsi="仿宋_GB2312" w:eastAsia="仿宋_GB2312" w:cs="仿宋_GB2312"/>
                <w:position w:val="-4"/>
                <w:sz w:val="30"/>
                <w:szCs w:val="30"/>
              </w:rPr>
              <w:t>1</w:t>
            </w:r>
          </w:p>
        </w:tc>
      </w:tr>
    </w:tbl>
    <w:p>
      <w:pPr>
        <w:spacing w:before="94" w:line="224" w:lineRule="auto"/>
        <w:ind w:left="103"/>
        <w:rPr>
          <w:rFonts w:ascii="黑体" w:hAnsi="黑体" w:eastAsia="黑体" w:cs="黑体"/>
          <w:b/>
          <w:bCs/>
          <w:spacing w:val="1"/>
          <w:sz w:val="29"/>
          <w:szCs w:val="29"/>
        </w:rPr>
      </w:pPr>
    </w:p>
    <w:p>
      <w:pPr>
        <w:spacing w:before="94" w:line="560" w:lineRule="exact"/>
        <w:rPr>
          <w:rFonts w:ascii="方正黑体_GBK" w:hAnsi="方正黑体_GBK" w:eastAsia="方正黑体_GBK" w:cs="方正黑体_GBK"/>
          <w:spacing w:val="1"/>
          <w:sz w:val="32"/>
          <w:szCs w:val="32"/>
        </w:rPr>
      </w:pPr>
      <w:r>
        <w:rPr>
          <w:rFonts w:ascii="方正黑体_GBK" w:hAnsi="方正黑体_GBK" w:eastAsia="方正黑体_GBK" w:cs="方正黑体_GBK"/>
          <w:spacing w:val="1"/>
          <w:sz w:val="32"/>
          <w:szCs w:val="32"/>
        </w:rPr>
        <w:br w:type="page"/>
      </w:r>
    </w:p>
    <w:p>
      <w:pPr>
        <w:spacing w:before="94" w:line="560" w:lineRule="exact"/>
        <w:rPr>
          <w:rFonts w:ascii="方正黑体_GBK" w:hAnsi="方正黑体_GBK" w:eastAsia="方正黑体_GBK" w:cs="方正黑体_GBK"/>
          <w:sz w:val="32"/>
          <w:szCs w:val="32"/>
        </w:rPr>
      </w:pPr>
      <w:r>
        <w:rPr>
          <w:rFonts w:hint="eastAsia" w:ascii="方正黑体_GBK" w:hAnsi="方正黑体_GBK" w:eastAsia="方正黑体_GBK" w:cs="方正黑体_GBK"/>
          <w:spacing w:val="1"/>
          <w:sz w:val="32"/>
          <w:szCs w:val="32"/>
        </w:rPr>
        <w:t>附件4</w:t>
      </w:r>
    </w:p>
    <w:p>
      <w:pPr>
        <w:spacing w:line="560" w:lineRule="exact"/>
      </w:pPr>
    </w:p>
    <w:p>
      <w:pPr>
        <w:spacing w:before="140" w:line="560" w:lineRule="exact"/>
        <w:ind w:left="515"/>
        <w:jc w:val="center"/>
        <w:rPr>
          <w:rFonts w:ascii="方正小标宋简体" w:hAnsi="方正小标宋_GBK" w:eastAsia="方正小标宋简体" w:cs="方正小标宋_GBK"/>
          <w:sz w:val="36"/>
          <w:szCs w:val="44"/>
        </w:rPr>
      </w:pPr>
      <w:r>
        <w:rPr>
          <w:rFonts w:hint="eastAsia" w:ascii="方正小标宋简体" w:hAnsi="方正小标宋_GBK" w:eastAsia="方正小标宋简体" w:cs="方正小标宋_GBK"/>
          <w:spacing w:val="20"/>
          <w:sz w:val="36"/>
          <w:szCs w:val="44"/>
        </w:rPr>
        <w:t>心内科</w:t>
      </w:r>
      <w:r>
        <w:rPr>
          <w:rFonts w:hint="eastAsia" w:ascii="方正小标宋简体" w:hAnsi="方正小标宋_GBK" w:eastAsia="方正小标宋简体" w:cs="方正小标宋_GBK"/>
          <w:sz w:val="36"/>
          <w:szCs w:val="44"/>
        </w:rPr>
        <w:t>ICU</w:t>
      </w:r>
      <w:r>
        <w:rPr>
          <w:rFonts w:hint="eastAsia" w:ascii="方正小标宋简体" w:hAnsi="方正小标宋_GBK" w:eastAsia="方正小标宋简体" w:cs="方正小标宋_GBK"/>
          <w:spacing w:val="20"/>
          <w:sz w:val="36"/>
          <w:szCs w:val="44"/>
        </w:rPr>
        <w:t>转化为综合</w:t>
      </w:r>
      <w:r>
        <w:rPr>
          <w:rFonts w:hint="eastAsia" w:ascii="方正小标宋简体" w:hAnsi="方正小标宋_GBK" w:eastAsia="方正小标宋简体" w:cs="方正小标宋_GBK"/>
          <w:sz w:val="36"/>
          <w:szCs w:val="44"/>
        </w:rPr>
        <w:t>ICU</w:t>
      </w:r>
      <w:r>
        <w:rPr>
          <w:rFonts w:hint="eastAsia" w:ascii="方正小标宋简体" w:hAnsi="方正小标宋_GBK" w:eastAsia="方正小标宋简体" w:cs="方正小标宋_GBK"/>
          <w:spacing w:val="20"/>
          <w:sz w:val="36"/>
          <w:szCs w:val="44"/>
        </w:rPr>
        <w:t>增加设备清单</w:t>
      </w:r>
    </w:p>
    <w:p>
      <w:pPr>
        <w:spacing w:line="560" w:lineRule="exact"/>
        <w:ind w:left="1603"/>
        <w:rPr>
          <w:rFonts w:ascii="仿宋_GB2312" w:hAnsi="仿宋_GB2312" w:eastAsia="仿宋_GB2312" w:cs="仿宋_GB2312"/>
          <w:sz w:val="32"/>
          <w:szCs w:val="32"/>
        </w:rPr>
      </w:pPr>
      <w:r>
        <w:rPr>
          <w:rFonts w:hint="eastAsia" w:ascii="仿宋_GB2312" w:hAnsi="仿宋_GB2312" w:eastAsia="仿宋_GB2312" w:cs="仿宋_GB2312"/>
          <w:b/>
          <w:bCs/>
          <w:spacing w:val="2"/>
          <w:sz w:val="32"/>
          <w:szCs w:val="32"/>
        </w:rPr>
        <w:t>(每10张床位需要增加的设备建议清单)</w:t>
      </w:r>
    </w:p>
    <w:tbl>
      <w:tblPr>
        <w:tblStyle w:val="16"/>
        <w:tblW w:w="8239" w:type="dxa"/>
        <w:tblInd w:w="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979"/>
        <w:gridCol w:w="3575"/>
        <w:gridCol w:w="1428"/>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884" w:type="dxa"/>
            <w:shd w:val="clear" w:color="auto" w:fill="auto"/>
          </w:tcPr>
          <w:p>
            <w:pPr>
              <w:spacing w:before="53" w:line="234" w:lineRule="auto"/>
              <w:ind w:left="139" w:right="123"/>
              <w:jc w:val="center"/>
              <w:rPr>
                <w:rFonts w:ascii="仿宋_GB2312" w:hAnsi="仿宋_GB2312" w:eastAsia="仿宋_GB2312" w:cs="仿宋_GB2312"/>
                <w:sz w:val="32"/>
                <w:szCs w:val="32"/>
              </w:rPr>
            </w:pPr>
            <w:r>
              <w:rPr>
                <w:rFonts w:hint="eastAsia" w:ascii="仿宋_GB2312" w:hAnsi="仿宋_GB2312" w:eastAsia="仿宋_GB2312" w:cs="仿宋_GB2312"/>
                <w:b/>
                <w:bCs/>
                <w:spacing w:val="5"/>
                <w:sz w:val="32"/>
                <w:szCs w:val="32"/>
              </w:rPr>
              <w:t>设备 类型</w:t>
            </w:r>
          </w:p>
        </w:tc>
        <w:tc>
          <w:tcPr>
            <w:tcW w:w="979" w:type="dxa"/>
            <w:shd w:val="clear" w:color="auto" w:fill="auto"/>
          </w:tcPr>
          <w:p>
            <w:pPr>
              <w:spacing w:before="264" w:line="221" w:lineRule="auto"/>
              <w:ind w:left="185"/>
              <w:rPr>
                <w:rFonts w:ascii="仿宋_GB2312" w:hAnsi="仿宋_GB2312" w:eastAsia="仿宋_GB2312" w:cs="仿宋_GB2312"/>
                <w:sz w:val="32"/>
                <w:szCs w:val="32"/>
              </w:rPr>
            </w:pPr>
            <w:r>
              <w:rPr>
                <w:rFonts w:hint="eastAsia" w:ascii="仿宋_GB2312" w:hAnsi="仿宋_GB2312" w:eastAsia="仿宋_GB2312" w:cs="仿宋_GB2312"/>
                <w:b/>
                <w:bCs/>
                <w:spacing w:val="1"/>
                <w:sz w:val="32"/>
                <w:szCs w:val="32"/>
              </w:rPr>
              <w:t>序号</w:t>
            </w:r>
          </w:p>
        </w:tc>
        <w:tc>
          <w:tcPr>
            <w:tcW w:w="3575" w:type="dxa"/>
            <w:shd w:val="clear" w:color="auto" w:fill="auto"/>
          </w:tcPr>
          <w:p>
            <w:pPr>
              <w:spacing w:before="264" w:line="221" w:lineRule="auto"/>
              <w:ind w:left="1166"/>
              <w:rPr>
                <w:rFonts w:ascii="仿宋_GB2312" w:hAnsi="仿宋_GB2312" w:eastAsia="仿宋_GB2312" w:cs="仿宋_GB2312"/>
                <w:sz w:val="32"/>
                <w:szCs w:val="32"/>
              </w:rPr>
            </w:pPr>
            <w:r>
              <w:rPr>
                <w:rFonts w:hint="eastAsia" w:ascii="仿宋_GB2312" w:hAnsi="仿宋_GB2312" w:eastAsia="仿宋_GB2312" w:cs="仿宋_GB2312"/>
                <w:b/>
                <w:bCs/>
                <w:spacing w:val="-2"/>
                <w:sz w:val="32"/>
                <w:szCs w:val="32"/>
              </w:rPr>
              <w:t>设备名称</w:t>
            </w:r>
          </w:p>
        </w:tc>
        <w:tc>
          <w:tcPr>
            <w:tcW w:w="1428" w:type="dxa"/>
            <w:shd w:val="clear" w:color="auto" w:fill="auto"/>
          </w:tcPr>
          <w:p>
            <w:pPr>
              <w:spacing w:before="268" w:line="220" w:lineRule="auto"/>
              <w:ind w:left="406"/>
              <w:rPr>
                <w:rFonts w:ascii="仿宋_GB2312" w:hAnsi="仿宋_GB2312" w:eastAsia="仿宋_GB2312" w:cs="仿宋_GB2312"/>
                <w:sz w:val="32"/>
                <w:szCs w:val="32"/>
              </w:rPr>
            </w:pPr>
            <w:r>
              <w:rPr>
                <w:rFonts w:hint="eastAsia" w:ascii="仿宋_GB2312" w:hAnsi="仿宋_GB2312" w:eastAsia="仿宋_GB2312" w:cs="仿宋_GB2312"/>
                <w:b/>
                <w:bCs/>
                <w:spacing w:val="5"/>
                <w:sz w:val="32"/>
                <w:szCs w:val="32"/>
              </w:rPr>
              <w:t>单位</w:t>
            </w:r>
          </w:p>
        </w:tc>
        <w:tc>
          <w:tcPr>
            <w:tcW w:w="1373" w:type="dxa"/>
            <w:shd w:val="clear" w:color="auto" w:fill="auto"/>
          </w:tcPr>
          <w:p>
            <w:pPr>
              <w:spacing w:before="263" w:line="219" w:lineRule="auto"/>
              <w:ind w:left="383"/>
              <w:rPr>
                <w:rFonts w:ascii="仿宋_GB2312" w:hAnsi="仿宋_GB2312" w:eastAsia="仿宋_GB2312" w:cs="仿宋_GB2312"/>
                <w:sz w:val="32"/>
                <w:szCs w:val="32"/>
              </w:rPr>
            </w:pPr>
            <w:r>
              <w:rPr>
                <w:rFonts w:hint="eastAsia" w:ascii="仿宋_GB2312" w:hAnsi="仿宋_GB2312" w:eastAsia="仿宋_GB2312" w:cs="仿宋_GB2312"/>
                <w:b/>
                <w:bCs/>
                <w:spacing w:val="-7"/>
                <w:sz w:val="32"/>
                <w:szCs w:val="32"/>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84" w:type="dxa"/>
            <w:vMerge w:val="restart"/>
            <w:tcBorders>
              <w:bottom w:val="nil"/>
            </w:tcBorders>
            <w:shd w:val="clear" w:color="auto" w:fill="auto"/>
          </w:tcPr>
          <w:p>
            <w:pPr>
              <w:spacing w:line="271" w:lineRule="auto"/>
              <w:rPr>
                <w:rFonts w:ascii="仿宋_GB2312" w:hAnsi="仿宋_GB2312" w:eastAsia="仿宋_GB2312" w:cs="仿宋_GB2312"/>
                <w:sz w:val="32"/>
                <w:szCs w:val="32"/>
              </w:rPr>
            </w:pPr>
          </w:p>
          <w:p>
            <w:pPr>
              <w:spacing w:line="271" w:lineRule="auto"/>
              <w:rPr>
                <w:rFonts w:ascii="仿宋_GB2312" w:hAnsi="仿宋_GB2312" w:eastAsia="仿宋_GB2312" w:cs="仿宋_GB2312"/>
                <w:sz w:val="32"/>
                <w:szCs w:val="32"/>
              </w:rPr>
            </w:pPr>
          </w:p>
          <w:p/>
          <w:p/>
          <w:p>
            <w:pPr>
              <w:spacing w:before="98" w:line="228" w:lineRule="auto"/>
              <w:ind w:right="129"/>
              <w:jc w:val="center"/>
              <w:rPr>
                <w:rFonts w:ascii="仿宋_GB2312" w:hAnsi="仿宋_GB2312" w:eastAsia="仿宋_GB2312" w:cs="仿宋_GB2312"/>
                <w:sz w:val="32"/>
                <w:szCs w:val="32"/>
              </w:rPr>
            </w:pPr>
            <w:r>
              <w:rPr>
                <w:rFonts w:hint="eastAsia" w:ascii="仿宋_GB2312" w:hAnsi="仿宋_GB2312" w:eastAsia="仿宋_GB2312" w:cs="仿宋_GB2312"/>
                <w:b/>
                <w:bCs/>
                <w:spacing w:val="-9"/>
                <w:sz w:val="32"/>
                <w:szCs w:val="32"/>
              </w:rPr>
              <w:t>基础</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pacing w:val="-1"/>
                <w:sz w:val="32"/>
                <w:szCs w:val="32"/>
              </w:rPr>
              <w:t>设备</w:t>
            </w:r>
          </w:p>
        </w:tc>
        <w:tc>
          <w:tcPr>
            <w:tcW w:w="979" w:type="dxa"/>
            <w:shd w:val="clear" w:color="auto" w:fill="auto"/>
          </w:tcPr>
          <w:p>
            <w:pPr>
              <w:spacing w:before="140" w:line="166" w:lineRule="auto"/>
              <w:ind w:left="400"/>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3575" w:type="dxa"/>
            <w:shd w:val="clear" w:color="auto" w:fill="auto"/>
          </w:tcPr>
          <w:p>
            <w:pPr>
              <w:spacing w:before="67" w:line="211" w:lineRule="auto"/>
              <w:ind w:left="81"/>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加压袋</w:t>
            </w:r>
          </w:p>
        </w:tc>
        <w:tc>
          <w:tcPr>
            <w:tcW w:w="1428" w:type="dxa"/>
            <w:shd w:val="clear" w:color="auto" w:fill="auto"/>
          </w:tcPr>
          <w:p>
            <w:pPr>
              <w:spacing w:before="67" w:line="211"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只</w:t>
            </w:r>
          </w:p>
        </w:tc>
        <w:tc>
          <w:tcPr>
            <w:tcW w:w="1373" w:type="dxa"/>
            <w:shd w:val="clear" w:color="auto" w:fill="auto"/>
          </w:tcPr>
          <w:p>
            <w:pPr>
              <w:spacing w:before="143" w:line="164"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884" w:type="dxa"/>
            <w:vMerge w:val="continue"/>
            <w:tcBorders>
              <w:top w:val="nil"/>
              <w:bottom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200" w:line="183" w:lineRule="auto"/>
              <w:ind w:left="400"/>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3575" w:type="dxa"/>
            <w:shd w:val="clear" w:color="auto" w:fill="auto"/>
          </w:tcPr>
          <w:p>
            <w:pPr>
              <w:spacing w:before="121" w:line="219" w:lineRule="auto"/>
              <w:ind w:left="81"/>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精密注射泵</w:t>
            </w:r>
          </w:p>
        </w:tc>
        <w:tc>
          <w:tcPr>
            <w:tcW w:w="1428" w:type="dxa"/>
            <w:shd w:val="clear" w:color="auto" w:fill="auto"/>
          </w:tcPr>
          <w:p>
            <w:pPr>
              <w:spacing w:before="127" w:line="221"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1373" w:type="dxa"/>
            <w:shd w:val="clear" w:color="auto" w:fill="auto"/>
          </w:tcPr>
          <w:p>
            <w:pPr>
              <w:spacing w:before="199" w:line="184" w:lineRule="auto"/>
              <w:ind w:left="308"/>
              <w:rPr>
                <w:rFonts w:ascii="仿宋_GB2312" w:hAnsi="仿宋_GB2312" w:eastAsia="仿宋_GB2312" w:cs="仿宋_GB2312"/>
                <w:sz w:val="32"/>
                <w:szCs w:val="32"/>
              </w:rPr>
            </w:pPr>
            <w:r>
              <w:rPr>
                <w:rFonts w:hint="eastAsia" w:ascii="仿宋_GB2312" w:hAnsi="仿宋_GB2312" w:eastAsia="仿宋_GB2312" w:cs="仿宋_GB2312"/>
                <w:spacing w:val="-6"/>
                <w:sz w:val="32"/>
                <w:szCs w:val="32"/>
              </w:rPr>
              <w:t>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884" w:type="dxa"/>
            <w:vMerge w:val="continue"/>
            <w:tcBorders>
              <w:top w:val="nil"/>
              <w:bottom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130" w:line="165" w:lineRule="auto"/>
              <w:ind w:left="400"/>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3575" w:type="dxa"/>
            <w:shd w:val="clear" w:color="auto" w:fill="auto"/>
          </w:tcPr>
          <w:p>
            <w:pPr>
              <w:spacing w:before="52" w:line="213" w:lineRule="auto"/>
              <w:ind w:left="81"/>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简易呼吸球囊</w:t>
            </w:r>
          </w:p>
        </w:tc>
        <w:tc>
          <w:tcPr>
            <w:tcW w:w="1428" w:type="dxa"/>
            <w:shd w:val="clear" w:color="auto" w:fill="auto"/>
          </w:tcPr>
          <w:p>
            <w:pPr>
              <w:spacing w:before="59" w:line="209"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只</w:t>
            </w:r>
          </w:p>
        </w:tc>
        <w:tc>
          <w:tcPr>
            <w:tcW w:w="1373" w:type="dxa"/>
            <w:shd w:val="clear" w:color="auto" w:fill="auto"/>
          </w:tcPr>
          <w:p>
            <w:pPr>
              <w:spacing w:before="134" w:line="163"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884" w:type="dxa"/>
            <w:vMerge w:val="continue"/>
            <w:tcBorders>
              <w:top w:val="nil"/>
              <w:bottom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132" w:line="164" w:lineRule="auto"/>
              <w:ind w:left="400"/>
              <w:rPr>
                <w:rFonts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3575" w:type="dxa"/>
            <w:shd w:val="clear" w:color="auto" w:fill="auto"/>
          </w:tcPr>
          <w:p>
            <w:pPr>
              <w:spacing w:before="54" w:line="212" w:lineRule="auto"/>
              <w:ind w:left="81"/>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排痰机</w:t>
            </w:r>
          </w:p>
        </w:tc>
        <w:tc>
          <w:tcPr>
            <w:tcW w:w="1428" w:type="dxa"/>
            <w:shd w:val="clear" w:color="auto" w:fill="auto"/>
          </w:tcPr>
          <w:p>
            <w:pPr>
              <w:spacing w:before="57" w:line="210"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1373" w:type="dxa"/>
            <w:shd w:val="clear" w:color="auto" w:fill="auto"/>
          </w:tcPr>
          <w:p>
            <w:pPr>
              <w:spacing w:before="132" w:line="164"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84" w:type="dxa"/>
            <w:vMerge w:val="continue"/>
            <w:tcBorders>
              <w:top w:val="nil"/>
              <w:bottom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145" w:line="169" w:lineRule="auto"/>
              <w:ind w:left="400"/>
              <w:rPr>
                <w:rFonts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3575" w:type="dxa"/>
            <w:shd w:val="clear" w:color="auto" w:fill="auto"/>
          </w:tcPr>
          <w:p>
            <w:pPr>
              <w:spacing w:before="65" w:line="218" w:lineRule="auto"/>
              <w:ind w:left="81"/>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压力表</w:t>
            </w:r>
          </w:p>
        </w:tc>
        <w:tc>
          <w:tcPr>
            <w:tcW w:w="1428" w:type="dxa"/>
            <w:shd w:val="clear" w:color="auto" w:fill="auto"/>
          </w:tcPr>
          <w:p>
            <w:pPr>
              <w:spacing w:before="67" w:line="217"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373" w:type="dxa"/>
            <w:shd w:val="clear" w:color="auto" w:fill="auto"/>
          </w:tcPr>
          <w:p>
            <w:pPr>
              <w:spacing w:before="143" w:line="170"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84" w:type="dxa"/>
            <w:vMerge w:val="continue"/>
            <w:tcBorders>
              <w:top w:val="nil"/>
              <w:bottom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133" w:line="164" w:lineRule="auto"/>
              <w:ind w:left="400"/>
              <w:rPr>
                <w:rFonts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3575" w:type="dxa"/>
            <w:shd w:val="clear" w:color="auto" w:fill="auto"/>
          </w:tcPr>
          <w:p>
            <w:pPr>
              <w:spacing w:before="55" w:line="212" w:lineRule="auto"/>
              <w:ind w:left="81"/>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医用降温毯</w:t>
            </w:r>
          </w:p>
        </w:tc>
        <w:tc>
          <w:tcPr>
            <w:tcW w:w="1428" w:type="dxa"/>
            <w:shd w:val="clear" w:color="auto" w:fill="auto"/>
          </w:tcPr>
          <w:p>
            <w:pPr>
              <w:spacing w:before="58" w:line="210"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1373" w:type="dxa"/>
            <w:shd w:val="clear" w:color="auto" w:fill="auto"/>
          </w:tcPr>
          <w:p>
            <w:pPr>
              <w:spacing w:before="133" w:line="164"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84" w:type="dxa"/>
            <w:vMerge w:val="continue"/>
            <w:tcBorders>
              <w:top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145" w:line="163" w:lineRule="auto"/>
              <w:ind w:left="400"/>
              <w:rPr>
                <w:rFonts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3575" w:type="dxa"/>
            <w:shd w:val="clear" w:color="auto" w:fill="auto"/>
          </w:tcPr>
          <w:p>
            <w:pPr>
              <w:spacing w:before="86" w:line="199" w:lineRule="auto"/>
              <w:ind w:left="81"/>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升温仪</w:t>
            </w:r>
          </w:p>
        </w:tc>
        <w:tc>
          <w:tcPr>
            <w:tcW w:w="1428" w:type="dxa"/>
            <w:shd w:val="clear" w:color="auto" w:fill="auto"/>
          </w:tcPr>
          <w:p>
            <w:pPr>
              <w:spacing w:before="68" w:line="210"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1373" w:type="dxa"/>
            <w:shd w:val="clear" w:color="auto" w:fill="auto"/>
          </w:tcPr>
          <w:p>
            <w:pPr>
              <w:spacing w:before="143" w:line="164"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84" w:type="dxa"/>
            <w:vMerge w:val="restart"/>
            <w:tcBorders>
              <w:bottom w:val="nil"/>
            </w:tcBorders>
            <w:shd w:val="clear" w:color="auto" w:fill="auto"/>
          </w:tcPr>
          <w:p>
            <w:pPr>
              <w:spacing w:line="295" w:lineRule="auto"/>
              <w:rPr>
                <w:rFonts w:ascii="仿宋_GB2312" w:hAnsi="仿宋_GB2312" w:eastAsia="仿宋_GB2312" w:cs="仿宋_GB2312"/>
                <w:sz w:val="32"/>
                <w:szCs w:val="32"/>
              </w:rPr>
            </w:pPr>
          </w:p>
          <w:p/>
          <w:p>
            <w:pPr>
              <w:spacing w:before="98" w:line="242" w:lineRule="auto"/>
              <w:ind w:right="129"/>
              <w:jc w:val="center"/>
              <w:rPr>
                <w:rFonts w:ascii="仿宋_GB2312" w:hAnsi="仿宋_GB2312" w:eastAsia="仿宋_GB2312" w:cs="仿宋_GB2312"/>
                <w:sz w:val="32"/>
                <w:szCs w:val="32"/>
              </w:rPr>
            </w:pPr>
            <w:r>
              <w:rPr>
                <w:rFonts w:hint="eastAsia" w:ascii="仿宋_GB2312" w:hAnsi="仿宋_GB2312" w:eastAsia="仿宋_GB2312" w:cs="仿宋_GB2312"/>
                <w:b/>
                <w:bCs/>
                <w:spacing w:val="-2"/>
                <w:sz w:val="32"/>
                <w:szCs w:val="32"/>
              </w:rPr>
              <w:t>呼吸</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pacing w:val="-10"/>
                <w:sz w:val="32"/>
                <w:szCs w:val="32"/>
              </w:rPr>
              <w:t>支持</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pacing w:val="-1"/>
                <w:sz w:val="32"/>
                <w:szCs w:val="32"/>
              </w:rPr>
              <w:t>设备</w:t>
            </w:r>
          </w:p>
        </w:tc>
        <w:tc>
          <w:tcPr>
            <w:tcW w:w="979" w:type="dxa"/>
            <w:shd w:val="clear" w:color="auto" w:fill="auto"/>
          </w:tcPr>
          <w:p>
            <w:pPr>
              <w:spacing w:before="143" w:line="164" w:lineRule="auto"/>
              <w:ind w:left="400"/>
              <w:rPr>
                <w:rFonts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3575" w:type="dxa"/>
            <w:shd w:val="clear" w:color="auto" w:fill="auto"/>
          </w:tcPr>
          <w:p>
            <w:pPr>
              <w:spacing w:before="65" w:line="212" w:lineRule="auto"/>
              <w:ind w:left="81"/>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高流量湿化氧疗系统</w:t>
            </w:r>
          </w:p>
        </w:tc>
        <w:tc>
          <w:tcPr>
            <w:tcW w:w="1428" w:type="dxa"/>
            <w:shd w:val="clear" w:color="auto" w:fill="auto"/>
          </w:tcPr>
          <w:p>
            <w:pPr>
              <w:spacing w:before="67" w:line="211"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373" w:type="dxa"/>
            <w:shd w:val="clear" w:color="auto" w:fill="auto"/>
          </w:tcPr>
          <w:p>
            <w:pPr>
              <w:spacing w:before="143" w:line="164"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84" w:type="dxa"/>
            <w:vMerge w:val="continue"/>
            <w:tcBorders>
              <w:top w:val="nil"/>
              <w:bottom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144" w:line="163" w:lineRule="auto"/>
              <w:ind w:left="400"/>
              <w:rPr>
                <w:rFonts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3575" w:type="dxa"/>
            <w:shd w:val="clear" w:color="auto" w:fill="auto"/>
          </w:tcPr>
          <w:p>
            <w:pPr>
              <w:spacing w:before="64" w:line="212" w:lineRule="auto"/>
              <w:ind w:left="81"/>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无创呼吸机</w:t>
            </w:r>
          </w:p>
        </w:tc>
        <w:tc>
          <w:tcPr>
            <w:tcW w:w="1428" w:type="dxa"/>
            <w:shd w:val="clear" w:color="auto" w:fill="auto"/>
          </w:tcPr>
          <w:p>
            <w:pPr>
              <w:spacing w:before="69" w:line="209"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1373" w:type="dxa"/>
            <w:shd w:val="clear" w:color="auto" w:fill="auto"/>
          </w:tcPr>
          <w:p>
            <w:pPr>
              <w:spacing w:before="144" w:line="163"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884" w:type="dxa"/>
            <w:vMerge w:val="continue"/>
            <w:tcBorders>
              <w:top w:val="nil"/>
              <w:bottom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134" w:line="163" w:lineRule="auto"/>
              <w:ind w:left="330"/>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10</w:t>
            </w:r>
          </w:p>
        </w:tc>
        <w:tc>
          <w:tcPr>
            <w:tcW w:w="3575" w:type="dxa"/>
            <w:shd w:val="clear" w:color="auto" w:fill="auto"/>
          </w:tcPr>
          <w:p>
            <w:pPr>
              <w:spacing w:before="56" w:line="211" w:lineRule="auto"/>
              <w:ind w:left="81"/>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有创呼吸机</w:t>
            </w:r>
          </w:p>
        </w:tc>
        <w:tc>
          <w:tcPr>
            <w:tcW w:w="1428" w:type="dxa"/>
            <w:shd w:val="clear" w:color="auto" w:fill="auto"/>
          </w:tcPr>
          <w:p>
            <w:pPr>
              <w:spacing w:before="61" w:line="208"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1373" w:type="dxa"/>
            <w:shd w:val="clear" w:color="auto" w:fill="auto"/>
          </w:tcPr>
          <w:p>
            <w:pPr>
              <w:spacing w:before="134" w:line="163"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884" w:type="dxa"/>
            <w:vMerge w:val="continue"/>
            <w:tcBorders>
              <w:top w:val="nil"/>
              <w:bottom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134" w:line="163" w:lineRule="auto"/>
              <w:ind w:left="330"/>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11</w:t>
            </w:r>
          </w:p>
        </w:tc>
        <w:tc>
          <w:tcPr>
            <w:tcW w:w="3575" w:type="dxa"/>
            <w:shd w:val="clear" w:color="auto" w:fill="auto"/>
          </w:tcPr>
          <w:p>
            <w:pPr>
              <w:spacing w:before="135" w:line="162" w:lineRule="auto"/>
              <w:ind w:left="81"/>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ECMO</w:t>
            </w:r>
          </w:p>
        </w:tc>
        <w:tc>
          <w:tcPr>
            <w:tcW w:w="1428" w:type="dxa"/>
            <w:shd w:val="clear" w:color="auto" w:fill="auto"/>
          </w:tcPr>
          <w:p>
            <w:pPr>
              <w:spacing w:before="59" w:line="209"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373" w:type="dxa"/>
            <w:shd w:val="clear" w:color="auto" w:fill="auto"/>
          </w:tcPr>
          <w:p>
            <w:pPr>
              <w:spacing w:before="134" w:line="163"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84" w:type="dxa"/>
            <w:vMerge w:val="continue"/>
            <w:tcBorders>
              <w:top w:val="nil"/>
              <w:bottom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145" w:line="169" w:lineRule="auto"/>
              <w:ind w:left="330"/>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12</w:t>
            </w:r>
          </w:p>
        </w:tc>
        <w:tc>
          <w:tcPr>
            <w:tcW w:w="3575" w:type="dxa"/>
            <w:shd w:val="clear" w:color="auto" w:fill="auto"/>
          </w:tcPr>
          <w:p>
            <w:pPr>
              <w:spacing w:before="69" w:line="216" w:lineRule="auto"/>
              <w:ind w:left="81"/>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支气管镜</w:t>
            </w:r>
          </w:p>
        </w:tc>
        <w:tc>
          <w:tcPr>
            <w:tcW w:w="1428" w:type="dxa"/>
            <w:shd w:val="clear" w:color="auto" w:fill="auto"/>
          </w:tcPr>
          <w:p>
            <w:pPr>
              <w:spacing w:before="70" w:line="215"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373" w:type="dxa"/>
            <w:shd w:val="clear" w:color="auto" w:fill="auto"/>
          </w:tcPr>
          <w:p>
            <w:pPr>
              <w:spacing w:before="145" w:line="169"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884" w:type="dxa"/>
            <w:vMerge w:val="continue"/>
            <w:tcBorders>
              <w:top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135" w:line="162" w:lineRule="auto"/>
              <w:ind w:left="330"/>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13</w:t>
            </w:r>
          </w:p>
        </w:tc>
        <w:tc>
          <w:tcPr>
            <w:tcW w:w="3575" w:type="dxa"/>
            <w:shd w:val="clear" w:color="auto" w:fill="auto"/>
          </w:tcPr>
          <w:p>
            <w:pPr>
              <w:spacing w:before="59" w:line="209" w:lineRule="auto"/>
              <w:ind w:left="81"/>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一次性气管镜</w:t>
            </w:r>
          </w:p>
        </w:tc>
        <w:tc>
          <w:tcPr>
            <w:tcW w:w="1428" w:type="dxa"/>
            <w:shd w:val="clear" w:color="auto" w:fill="auto"/>
          </w:tcPr>
          <w:p>
            <w:pPr>
              <w:spacing w:before="82" w:line="195"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1373" w:type="dxa"/>
            <w:shd w:val="clear" w:color="auto" w:fill="auto"/>
          </w:tcPr>
          <w:p>
            <w:pPr>
              <w:spacing w:before="137" w:line="161"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84" w:type="dxa"/>
            <w:vMerge w:val="restart"/>
            <w:tcBorders>
              <w:bottom w:val="nil"/>
            </w:tcBorders>
            <w:shd w:val="clear" w:color="auto" w:fill="auto"/>
          </w:tcPr>
          <w:p>
            <w:pPr>
              <w:spacing w:before="87" w:line="236" w:lineRule="auto"/>
              <w:ind w:left="139" w:right="129"/>
              <w:jc w:val="center"/>
              <w:rPr>
                <w:rFonts w:ascii="仿宋_GB2312" w:hAnsi="仿宋_GB2312" w:eastAsia="仿宋_GB2312" w:cs="仿宋_GB2312"/>
                <w:sz w:val="32"/>
                <w:szCs w:val="32"/>
              </w:rPr>
            </w:pPr>
            <w:r>
              <w:rPr>
                <w:rFonts w:hint="eastAsia" w:ascii="仿宋_GB2312" w:hAnsi="仿宋_GB2312" w:eastAsia="仿宋_GB2312" w:cs="仿宋_GB2312"/>
                <w:b/>
                <w:bCs/>
                <w:spacing w:val="-10"/>
                <w:sz w:val="32"/>
                <w:szCs w:val="32"/>
              </w:rPr>
              <w:t>其他</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pacing w:val="-10"/>
                <w:sz w:val="32"/>
                <w:szCs w:val="32"/>
              </w:rPr>
              <w:t>支持</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pacing w:val="-1"/>
                <w:sz w:val="32"/>
                <w:szCs w:val="32"/>
              </w:rPr>
              <w:t>设备</w:t>
            </w:r>
          </w:p>
        </w:tc>
        <w:tc>
          <w:tcPr>
            <w:tcW w:w="979" w:type="dxa"/>
            <w:shd w:val="clear" w:color="auto" w:fill="auto"/>
          </w:tcPr>
          <w:p>
            <w:pPr>
              <w:spacing w:before="145" w:line="162" w:lineRule="auto"/>
              <w:ind w:left="330"/>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14</w:t>
            </w:r>
          </w:p>
        </w:tc>
        <w:tc>
          <w:tcPr>
            <w:tcW w:w="3575" w:type="dxa"/>
            <w:shd w:val="clear" w:color="auto" w:fill="auto"/>
          </w:tcPr>
          <w:p>
            <w:pPr>
              <w:spacing w:before="71" w:line="208" w:lineRule="auto"/>
              <w:ind w:left="81"/>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全自动连续血滤系统</w:t>
            </w:r>
          </w:p>
        </w:tc>
        <w:tc>
          <w:tcPr>
            <w:tcW w:w="1428" w:type="dxa"/>
            <w:shd w:val="clear" w:color="auto" w:fill="auto"/>
          </w:tcPr>
          <w:p>
            <w:pPr>
              <w:spacing w:before="71" w:line="208"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373" w:type="dxa"/>
            <w:shd w:val="clear" w:color="auto" w:fill="auto"/>
          </w:tcPr>
          <w:p>
            <w:pPr>
              <w:spacing w:before="147" w:line="161"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884" w:type="dxa"/>
            <w:vMerge w:val="continue"/>
            <w:tcBorders>
              <w:top w:val="nil"/>
              <w:bottom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137" w:line="161" w:lineRule="auto"/>
              <w:ind w:left="330"/>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15</w:t>
            </w:r>
          </w:p>
        </w:tc>
        <w:tc>
          <w:tcPr>
            <w:tcW w:w="3575" w:type="dxa"/>
            <w:shd w:val="clear" w:color="auto" w:fill="auto"/>
          </w:tcPr>
          <w:p>
            <w:pPr>
              <w:spacing w:before="60" w:line="208" w:lineRule="auto"/>
              <w:ind w:left="81"/>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空气波压力治疗仪</w:t>
            </w:r>
          </w:p>
        </w:tc>
        <w:tc>
          <w:tcPr>
            <w:tcW w:w="1428" w:type="dxa"/>
            <w:shd w:val="clear" w:color="auto" w:fill="auto"/>
          </w:tcPr>
          <w:p>
            <w:pPr>
              <w:spacing w:before="62" w:line="207"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373" w:type="dxa"/>
            <w:shd w:val="clear" w:color="auto" w:fill="auto"/>
          </w:tcPr>
          <w:p>
            <w:pPr>
              <w:spacing w:before="138" w:line="160"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84" w:type="dxa"/>
            <w:vMerge w:val="continue"/>
            <w:tcBorders>
              <w:top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148" w:line="161" w:lineRule="auto"/>
              <w:ind w:left="330"/>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16</w:t>
            </w:r>
          </w:p>
        </w:tc>
        <w:tc>
          <w:tcPr>
            <w:tcW w:w="3575" w:type="dxa"/>
            <w:shd w:val="clear" w:color="auto" w:fill="auto"/>
          </w:tcPr>
          <w:p>
            <w:pPr>
              <w:spacing w:before="71" w:line="208" w:lineRule="auto"/>
              <w:ind w:left="81"/>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康复训练车</w:t>
            </w:r>
          </w:p>
        </w:tc>
        <w:tc>
          <w:tcPr>
            <w:tcW w:w="1428" w:type="dxa"/>
            <w:shd w:val="clear" w:color="auto" w:fill="auto"/>
          </w:tcPr>
          <w:p>
            <w:pPr>
              <w:spacing w:before="75" w:line="206"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1373" w:type="dxa"/>
            <w:shd w:val="clear" w:color="auto" w:fill="auto"/>
          </w:tcPr>
          <w:p>
            <w:pPr>
              <w:spacing w:before="149" w:line="160"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84" w:type="dxa"/>
            <w:vMerge w:val="restart"/>
            <w:tcBorders>
              <w:bottom w:val="nil"/>
            </w:tcBorders>
            <w:shd w:val="clear" w:color="auto" w:fill="auto"/>
          </w:tcPr>
          <w:p>
            <w:pPr>
              <w:spacing w:before="73" w:line="220" w:lineRule="auto"/>
              <w:ind w:left="134"/>
              <w:rPr>
                <w:rFonts w:ascii="仿宋_GB2312" w:hAnsi="仿宋_GB2312" w:eastAsia="仿宋_GB2312" w:cs="仿宋_GB2312"/>
                <w:b/>
                <w:bCs/>
                <w:sz w:val="32"/>
                <w:szCs w:val="32"/>
              </w:rPr>
            </w:pPr>
            <w:r>
              <w:rPr>
                <w:rFonts w:hint="eastAsia" w:ascii="仿宋_GB2312" w:hAnsi="仿宋_GB2312" w:eastAsia="仿宋_GB2312" w:cs="仿宋_GB2312"/>
                <w:b/>
                <w:bCs/>
                <w:spacing w:val="5"/>
                <w:sz w:val="32"/>
                <w:szCs w:val="32"/>
              </w:rPr>
              <w:t>转运</w:t>
            </w:r>
          </w:p>
          <w:p>
            <w:pPr>
              <w:spacing w:before="59" w:line="199" w:lineRule="auto"/>
              <w:ind w:left="139"/>
              <w:rPr>
                <w:rFonts w:ascii="仿宋_GB2312" w:hAnsi="仿宋_GB2312" w:eastAsia="仿宋_GB2312" w:cs="仿宋_GB2312"/>
                <w:sz w:val="32"/>
                <w:szCs w:val="32"/>
              </w:rPr>
            </w:pPr>
            <w:r>
              <w:rPr>
                <w:rFonts w:hint="eastAsia" w:ascii="仿宋_GB2312" w:hAnsi="仿宋_GB2312" w:eastAsia="仿宋_GB2312" w:cs="仿宋_GB2312"/>
                <w:b/>
                <w:bCs/>
                <w:spacing w:val="-1"/>
                <w:sz w:val="32"/>
                <w:szCs w:val="32"/>
              </w:rPr>
              <w:t>设备</w:t>
            </w:r>
          </w:p>
        </w:tc>
        <w:tc>
          <w:tcPr>
            <w:tcW w:w="979" w:type="dxa"/>
            <w:shd w:val="clear" w:color="auto" w:fill="auto"/>
          </w:tcPr>
          <w:p>
            <w:pPr>
              <w:spacing w:before="138" w:line="161" w:lineRule="auto"/>
              <w:ind w:left="330"/>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17</w:t>
            </w:r>
          </w:p>
        </w:tc>
        <w:tc>
          <w:tcPr>
            <w:tcW w:w="3575" w:type="dxa"/>
            <w:shd w:val="clear" w:color="auto" w:fill="auto"/>
          </w:tcPr>
          <w:p>
            <w:pPr>
              <w:spacing w:before="60" w:line="209" w:lineRule="auto"/>
              <w:ind w:left="81"/>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转运呼吸机</w:t>
            </w:r>
          </w:p>
        </w:tc>
        <w:tc>
          <w:tcPr>
            <w:tcW w:w="1428" w:type="dxa"/>
            <w:shd w:val="clear" w:color="auto" w:fill="auto"/>
          </w:tcPr>
          <w:p>
            <w:pPr>
              <w:spacing w:before="65" w:line="206"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1373" w:type="dxa"/>
            <w:shd w:val="clear" w:color="auto" w:fill="auto"/>
          </w:tcPr>
          <w:p>
            <w:pPr>
              <w:spacing w:before="138" w:line="161"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884" w:type="dxa"/>
            <w:vMerge w:val="continue"/>
            <w:tcBorders>
              <w:top w:val="nil"/>
            </w:tcBorders>
            <w:shd w:val="clear" w:color="auto" w:fill="auto"/>
          </w:tcPr>
          <w:p>
            <w:pPr>
              <w:rPr>
                <w:rFonts w:ascii="仿宋_GB2312" w:hAnsi="仿宋_GB2312" w:eastAsia="仿宋_GB2312" w:cs="仿宋_GB2312"/>
                <w:sz w:val="32"/>
                <w:szCs w:val="32"/>
              </w:rPr>
            </w:pPr>
          </w:p>
        </w:tc>
        <w:tc>
          <w:tcPr>
            <w:tcW w:w="979" w:type="dxa"/>
            <w:shd w:val="clear" w:color="auto" w:fill="auto"/>
          </w:tcPr>
          <w:p>
            <w:pPr>
              <w:spacing w:before="139" w:line="163" w:lineRule="auto"/>
              <w:ind w:left="330"/>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18</w:t>
            </w:r>
          </w:p>
        </w:tc>
        <w:tc>
          <w:tcPr>
            <w:tcW w:w="3575" w:type="dxa"/>
            <w:shd w:val="clear" w:color="auto" w:fill="auto"/>
          </w:tcPr>
          <w:p>
            <w:pPr>
              <w:spacing w:before="62" w:line="210" w:lineRule="auto"/>
              <w:ind w:left="81"/>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转运监护仪</w:t>
            </w:r>
          </w:p>
        </w:tc>
        <w:tc>
          <w:tcPr>
            <w:tcW w:w="1428" w:type="dxa"/>
            <w:shd w:val="clear" w:color="auto" w:fill="auto"/>
          </w:tcPr>
          <w:p>
            <w:pPr>
              <w:spacing w:before="65" w:line="208" w:lineRule="auto"/>
              <w:ind w:left="556"/>
              <w:rPr>
                <w:rFonts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1373" w:type="dxa"/>
            <w:shd w:val="clear" w:color="auto" w:fill="auto"/>
          </w:tcPr>
          <w:p>
            <w:pPr>
              <w:spacing w:before="139" w:line="163" w:lineRule="auto"/>
              <w:ind w:left="608"/>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bl>
    <w:p>
      <w:pPr>
        <w:spacing w:before="101" w:line="224" w:lineRule="auto"/>
        <w:rPr>
          <w:rFonts w:ascii="方正黑体_GBK" w:hAnsi="方正黑体_GBK" w:eastAsia="方正黑体_GBK" w:cs="方正黑体_GBK"/>
          <w:bCs/>
          <w:spacing w:val="-12"/>
          <w:sz w:val="32"/>
          <w:szCs w:val="32"/>
        </w:rPr>
      </w:pPr>
      <w:r>
        <w:rPr>
          <w:rFonts w:ascii="方正黑体_GBK" w:hAnsi="方正黑体_GBK" w:eastAsia="方正黑体_GBK" w:cs="方正黑体_GBK"/>
          <w:bCs/>
          <w:spacing w:val="-12"/>
          <w:sz w:val="32"/>
          <w:szCs w:val="32"/>
        </w:rPr>
        <w:br w:type="page"/>
      </w:r>
    </w:p>
    <w:p>
      <w:pPr>
        <w:spacing w:before="101" w:line="224" w:lineRule="auto"/>
        <w:rPr>
          <w:rFonts w:ascii="方正黑体_GBK" w:hAnsi="方正黑体_GBK" w:eastAsia="方正黑体_GBK" w:cs="方正黑体_GBK"/>
          <w:bCs/>
          <w:spacing w:val="-12"/>
          <w:sz w:val="32"/>
          <w:szCs w:val="32"/>
        </w:rPr>
      </w:pPr>
    </w:p>
    <w:p>
      <w:pPr>
        <w:spacing w:before="101" w:line="224" w:lineRule="auto"/>
        <w:rPr>
          <w:rFonts w:ascii="方正黑体_GBK" w:hAnsi="方正黑体_GBK" w:eastAsia="方正黑体_GBK" w:cs="方正黑体_GBK"/>
          <w:sz w:val="32"/>
          <w:szCs w:val="32"/>
        </w:rPr>
      </w:pPr>
      <w:r>
        <w:rPr>
          <w:rFonts w:hint="eastAsia" w:ascii="方正黑体_GBK" w:hAnsi="方正黑体_GBK" w:eastAsia="方正黑体_GBK" w:cs="方正黑体_GBK"/>
          <w:bCs/>
          <w:spacing w:val="-12"/>
          <w:sz w:val="32"/>
          <w:szCs w:val="32"/>
        </w:rPr>
        <w:t>附件5</w:t>
      </w:r>
    </w:p>
    <w:p>
      <w:pPr>
        <w:spacing w:line="312" w:lineRule="auto"/>
      </w:pPr>
    </w:p>
    <w:p>
      <w:pPr>
        <w:spacing w:before="140" w:line="717" w:lineRule="exact"/>
        <w:jc w:val="center"/>
        <w:rPr>
          <w:rFonts w:ascii="方正小标宋_GBK" w:hAnsi="方正小标宋_GBK" w:eastAsia="方正小标宋_GBK" w:cs="方正小标宋_GBK"/>
          <w:sz w:val="36"/>
          <w:szCs w:val="44"/>
        </w:rPr>
      </w:pPr>
      <w:r>
        <w:rPr>
          <w:rFonts w:hint="eastAsia" w:ascii="方正小标宋_GBK" w:hAnsi="方正小标宋_GBK" w:eastAsia="方正小标宋_GBK" w:cs="方正小标宋_GBK"/>
          <w:spacing w:val="-9"/>
          <w:position w:val="20"/>
          <w:sz w:val="36"/>
          <w:szCs w:val="44"/>
        </w:rPr>
        <w:t>可转化床位设备配置标准</w:t>
      </w:r>
    </w:p>
    <w:p>
      <w:pPr>
        <w:spacing w:line="219" w:lineRule="auto"/>
        <w:ind w:left="1851"/>
        <w:rPr>
          <w:rFonts w:ascii="仿宋_GB2312" w:hAnsi="仿宋_GB2312" w:eastAsia="仿宋_GB2312" w:cs="仿宋_GB2312"/>
          <w:sz w:val="32"/>
          <w:szCs w:val="32"/>
        </w:rPr>
      </w:pPr>
      <w:r>
        <w:rPr>
          <w:rFonts w:hint="eastAsia" w:ascii="仿宋_GB2312" w:hAnsi="仿宋_GB2312" w:eastAsia="仿宋_GB2312" w:cs="仿宋_GB2312"/>
          <w:b/>
          <w:bCs/>
          <w:spacing w:val="11"/>
          <w:sz w:val="32"/>
          <w:szCs w:val="32"/>
        </w:rPr>
        <w:t>(每10张床位需要的设备建议清单)</w:t>
      </w:r>
    </w:p>
    <w:tbl>
      <w:tblPr>
        <w:tblStyle w:val="16"/>
        <w:tblW w:w="8240"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939"/>
        <w:gridCol w:w="3696"/>
        <w:gridCol w:w="1268"/>
        <w:gridCol w:w="1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1054" w:type="dxa"/>
            <w:shd w:val="clear" w:color="auto" w:fill="auto"/>
          </w:tcPr>
          <w:p>
            <w:pPr>
              <w:spacing w:before="55" w:line="222" w:lineRule="auto"/>
              <w:ind w:left="209" w:right="203"/>
              <w:rPr>
                <w:rFonts w:ascii="仿宋_GB2312" w:hAnsi="仿宋_GB2312" w:eastAsia="仿宋_GB2312" w:cs="仿宋_GB2312"/>
                <w:sz w:val="30"/>
                <w:szCs w:val="30"/>
              </w:rPr>
            </w:pPr>
            <w:r>
              <w:rPr>
                <w:rFonts w:hint="eastAsia" w:ascii="仿宋_GB2312" w:hAnsi="仿宋_GB2312" w:eastAsia="仿宋_GB2312" w:cs="仿宋_GB2312"/>
                <w:b/>
                <w:bCs/>
                <w:spacing w:val="-7"/>
                <w:sz w:val="30"/>
                <w:szCs w:val="30"/>
              </w:rPr>
              <w:t>设备 类型</w:t>
            </w:r>
          </w:p>
        </w:tc>
        <w:tc>
          <w:tcPr>
            <w:tcW w:w="939" w:type="dxa"/>
            <w:shd w:val="clear" w:color="auto" w:fill="auto"/>
          </w:tcPr>
          <w:p>
            <w:pPr>
              <w:spacing w:before="255" w:line="221" w:lineRule="auto"/>
              <w:ind w:left="155"/>
              <w:rPr>
                <w:rFonts w:ascii="仿宋_GB2312" w:hAnsi="仿宋_GB2312" w:eastAsia="仿宋_GB2312" w:cs="仿宋_GB2312"/>
                <w:sz w:val="30"/>
                <w:szCs w:val="30"/>
              </w:rPr>
            </w:pPr>
            <w:r>
              <w:rPr>
                <w:rFonts w:hint="eastAsia" w:ascii="仿宋_GB2312" w:hAnsi="仿宋_GB2312" w:eastAsia="仿宋_GB2312" w:cs="仿宋_GB2312"/>
                <w:b/>
                <w:bCs/>
                <w:spacing w:val="1"/>
                <w:sz w:val="30"/>
                <w:szCs w:val="30"/>
              </w:rPr>
              <w:t>序号</w:t>
            </w:r>
          </w:p>
        </w:tc>
        <w:tc>
          <w:tcPr>
            <w:tcW w:w="3696" w:type="dxa"/>
            <w:shd w:val="clear" w:color="auto" w:fill="auto"/>
          </w:tcPr>
          <w:p>
            <w:pPr>
              <w:spacing w:before="255" w:line="221" w:lineRule="auto"/>
              <w:ind w:left="1206"/>
              <w:rPr>
                <w:rFonts w:ascii="仿宋_GB2312" w:hAnsi="仿宋_GB2312" w:eastAsia="仿宋_GB2312" w:cs="仿宋_GB2312"/>
                <w:sz w:val="30"/>
                <w:szCs w:val="30"/>
              </w:rPr>
            </w:pPr>
            <w:r>
              <w:rPr>
                <w:rFonts w:hint="eastAsia" w:ascii="仿宋_GB2312" w:hAnsi="仿宋_GB2312" w:eastAsia="仿宋_GB2312" w:cs="仿宋_GB2312"/>
                <w:b/>
                <w:bCs/>
                <w:spacing w:val="-2"/>
                <w:sz w:val="30"/>
                <w:szCs w:val="30"/>
              </w:rPr>
              <w:t>设备名称</w:t>
            </w:r>
          </w:p>
        </w:tc>
        <w:tc>
          <w:tcPr>
            <w:tcW w:w="1268" w:type="dxa"/>
            <w:shd w:val="clear" w:color="auto" w:fill="auto"/>
          </w:tcPr>
          <w:p>
            <w:pPr>
              <w:spacing w:before="254" w:line="220" w:lineRule="auto"/>
              <w:ind w:left="320"/>
              <w:rPr>
                <w:rFonts w:ascii="仿宋_GB2312" w:hAnsi="仿宋_GB2312" w:eastAsia="仿宋_GB2312" w:cs="仿宋_GB2312"/>
                <w:sz w:val="30"/>
                <w:szCs w:val="30"/>
              </w:rPr>
            </w:pPr>
            <w:r>
              <w:rPr>
                <w:rFonts w:hint="eastAsia" w:ascii="仿宋_GB2312" w:hAnsi="仿宋_GB2312" w:eastAsia="仿宋_GB2312" w:cs="仿宋_GB2312"/>
                <w:b/>
                <w:bCs/>
                <w:spacing w:val="-7"/>
                <w:sz w:val="30"/>
                <w:szCs w:val="30"/>
              </w:rPr>
              <w:t>单位</w:t>
            </w:r>
          </w:p>
        </w:tc>
        <w:tc>
          <w:tcPr>
            <w:tcW w:w="1283" w:type="dxa"/>
            <w:shd w:val="clear" w:color="auto" w:fill="auto"/>
          </w:tcPr>
          <w:p>
            <w:pPr>
              <w:spacing w:before="253" w:line="219" w:lineRule="auto"/>
              <w:ind w:left="332"/>
              <w:rPr>
                <w:rFonts w:ascii="仿宋_GB2312" w:hAnsi="仿宋_GB2312" w:eastAsia="仿宋_GB2312" w:cs="仿宋_GB2312"/>
                <w:sz w:val="30"/>
                <w:szCs w:val="30"/>
              </w:rPr>
            </w:pPr>
            <w:r>
              <w:rPr>
                <w:rFonts w:hint="eastAsia" w:ascii="仿宋_GB2312" w:hAnsi="仿宋_GB2312" w:eastAsia="仿宋_GB2312" w:cs="仿宋_GB2312"/>
                <w:b/>
                <w:bCs/>
                <w:spacing w:val="-7"/>
                <w:sz w:val="30"/>
                <w:szCs w:val="30"/>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054" w:type="dxa"/>
            <w:vMerge w:val="restart"/>
            <w:tcBorders>
              <w:bottom w:val="nil"/>
            </w:tcBorders>
            <w:shd w:val="clear" w:color="auto" w:fill="auto"/>
          </w:tcPr>
          <w:p>
            <w:pPr>
              <w:spacing w:line="278" w:lineRule="auto"/>
              <w:rPr>
                <w:rFonts w:ascii="仿宋_GB2312" w:hAnsi="仿宋_GB2312" w:eastAsia="仿宋_GB2312" w:cs="仿宋_GB2312"/>
                <w:sz w:val="30"/>
                <w:szCs w:val="30"/>
              </w:rPr>
            </w:pPr>
          </w:p>
          <w:p>
            <w:pPr>
              <w:spacing w:line="278" w:lineRule="auto"/>
              <w:rPr>
                <w:rFonts w:ascii="仿宋_GB2312" w:hAnsi="仿宋_GB2312" w:eastAsia="仿宋_GB2312" w:cs="仿宋_GB2312"/>
                <w:sz w:val="30"/>
                <w:szCs w:val="30"/>
              </w:rPr>
            </w:pPr>
          </w:p>
          <w:p>
            <w:pPr>
              <w:spacing w:line="278" w:lineRule="auto"/>
              <w:rPr>
                <w:rFonts w:ascii="仿宋_GB2312" w:hAnsi="仿宋_GB2312" w:eastAsia="仿宋_GB2312" w:cs="仿宋_GB2312"/>
                <w:sz w:val="30"/>
                <w:szCs w:val="30"/>
              </w:rPr>
            </w:pPr>
          </w:p>
          <w:p/>
          <w:p/>
          <w:p/>
          <w:p>
            <w:pPr>
              <w:spacing w:before="101" w:line="239" w:lineRule="auto"/>
              <w:ind w:right="206"/>
              <w:jc w:val="center"/>
              <w:rPr>
                <w:rFonts w:ascii="仿宋_GB2312" w:hAnsi="仿宋_GB2312" w:eastAsia="仿宋_GB2312" w:cs="仿宋_GB2312"/>
                <w:sz w:val="30"/>
                <w:szCs w:val="30"/>
              </w:rPr>
            </w:pPr>
            <w:r>
              <w:rPr>
                <w:rFonts w:hint="eastAsia" w:ascii="仿宋_GB2312" w:hAnsi="仿宋_GB2312" w:eastAsia="仿宋_GB2312" w:cs="仿宋_GB2312"/>
                <w:b/>
                <w:bCs/>
                <w:spacing w:val="-7"/>
                <w:sz w:val="30"/>
                <w:szCs w:val="30"/>
              </w:rPr>
              <w:t>基础 设备</w:t>
            </w:r>
          </w:p>
        </w:tc>
        <w:tc>
          <w:tcPr>
            <w:tcW w:w="939" w:type="dxa"/>
            <w:shd w:val="clear" w:color="auto" w:fill="auto"/>
          </w:tcPr>
          <w:p>
            <w:pPr>
              <w:spacing w:before="133" w:line="159" w:lineRule="auto"/>
              <w:ind w:left="381"/>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c>
          <w:tcPr>
            <w:tcW w:w="3696" w:type="dxa"/>
            <w:shd w:val="clear" w:color="auto" w:fill="auto"/>
          </w:tcPr>
          <w:p>
            <w:pPr>
              <w:spacing w:before="52" w:line="207" w:lineRule="auto"/>
              <w:ind w:left="7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供氧管路改造</w:t>
            </w:r>
          </w:p>
        </w:tc>
        <w:tc>
          <w:tcPr>
            <w:tcW w:w="1268" w:type="dxa"/>
            <w:shd w:val="clear" w:color="auto" w:fill="auto"/>
          </w:tcPr>
          <w:p>
            <w:pPr>
              <w:spacing w:before="54" w:line="206"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床</w:t>
            </w:r>
          </w:p>
        </w:tc>
        <w:tc>
          <w:tcPr>
            <w:tcW w:w="1283" w:type="dxa"/>
            <w:shd w:val="clear" w:color="auto" w:fill="auto"/>
          </w:tcPr>
          <w:p>
            <w:pPr>
              <w:spacing w:before="133" w:line="159" w:lineRule="auto"/>
              <w:ind w:left="477"/>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5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939" w:type="dxa"/>
            <w:shd w:val="clear" w:color="auto" w:fill="auto"/>
          </w:tcPr>
          <w:p>
            <w:pPr>
              <w:spacing w:before="133" w:line="164" w:lineRule="auto"/>
              <w:ind w:left="381"/>
              <w:rPr>
                <w:rFonts w:ascii="仿宋_GB2312" w:hAnsi="仿宋_GB2312" w:eastAsia="仿宋_GB2312" w:cs="仿宋_GB2312"/>
                <w:sz w:val="30"/>
                <w:szCs w:val="30"/>
              </w:rPr>
            </w:pPr>
            <w:r>
              <w:rPr>
                <w:rFonts w:hint="eastAsia" w:ascii="仿宋_GB2312" w:hAnsi="仿宋_GB2312" w:eastAsia="仿宋_GB2312" w:cs="仿宋_GB2312"/>
                <w:sz w:val="30"/>
                <w:szCs w:val="30"/>
              </w:rPr>
              <w:t>2</w:t>
            </w:r>
          </w:p>
        </w:tc>
        <w:tc>
          <w:tcPr>
            <w:tcW w:w="3696" w:type="dxa"/>
            <w:shd w:val="clear" w:color="auto" w:fill="auto"/>
          </w:tcPr>
          <w:p>
            <w:pPr>
              <w:spacing w:before="53" w:line="212" w:lineRule="auto"/>
              <w:ind w:left="7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床旁监护仪</w:t>
            </w:r>
          </w:p>
        </w:tc>
        <w:tc>
          <w:tcPr>
            <w:tcW w:w="1268" w:type="dxa"/>
            <w:shd w:val="clear" w:color="auto" w:fill="auto"/>
          </w:tcPr>
          <w:p>
            <w:pPr>
              <w:spacing w:before="54" w:line="211"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283" w:type="dxa"/>
            <w:shd w:val="clear" w:color="auto" w:fill="auto"/>
          </w:tcPr>
          <w:p>
            <w:pPr>
              <w:spacing w:before="142" w:line="159" w:lineRule="auto"/>
              <w:ind w:left="477"/>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5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939" w:type="dxa"/>
            <w:shd w:val="clear" w:color="auto" w:fill="auto"/>
          </w:tcPr>
          <w:p>
            <w:pPr>
              <w:spacing w:before="135" w:line="163" w:lineRule="auto"/>
              <w:ind w:left="381"/>
              <w:rPr>
                <w:rFonts w:ascii="仿宋_GB2312" w:hAnsi="仿宋_GB2312" w:eastAsia="仿宋_GB2312" w:cs="仿宋_GB2312"/>
                <w:sz w:val="30"/>
                <w:szCs w:val="30"/>
              </w:rPr>
            </w:pPr>
            <w:r>
              <w:rPr>
                <w:rFonts w:hint="eastAsia" w:ascii="仿宋_GB2312" w:hAnsi="仿宋_GB2312" w:eastAsia="仿宋_GB2312" w:cs="仿宋_GB2312"/>
                <w:sz w:val="30"/>
                <w:szCs w:val="30"/>
              </w:rPr>
              <w:t>3</w:t>
            </w:r>
          </w:p>
        </w:tc>
        <w:tc>
          <w:tcPr>
            <w:tcW w:w="3696" w:type="dxa"/>
            <w:shd w:val="clear" w:color="auto" w:fill="auto"/>
          </w:tcPr>
          <w:p>
            <w:pPr>
              <w:spacing w:before="53" w:line="212" w:lineRule="auto"/>
              <w:ind w:left="71"/>
              <w:rPr>
                <w:rFonts w:ascii="仿宋_GB2312" w:hAnsi="仿宋_GB2312" w:eastAsia="仿宋_GB2312" w:cs="仿宋_GB2312"/>
                <w:sz w:val="30"/>
                <w:szCs w:val="30"/>
              </w:rPr>
            </w:pPr>
            <w:r>
              <w:rPr>
                <w:rFonts w:hint="eastAsia" w:ascii="仿宋_GB2312" w:hAnsi="仿宋_GB2312" w:eastAsia="仿宋_GB2312" w:cs="仿宋_GB2312"/>
                <w:spacing w:val="5"/>
                <w:sz w:val="30"/>
                <w:szCs w:val="30"/>
              </w:rPr>
              <w:t>脉氧夹</w:t>
            </w:r>
          </w:p>
        </w:tc>
        <w:tc>
          <w:tcPr>
            <w:tcW w:w="1268" w:type="dxa"/>
            <w:shd w:val="clear" w:color="auto" w:fill="auto"/>
          </w:tcPr>
          <w:p>
            <w:pPr>
              <w:spacing w:before="88" w:line="191"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283" w:type="dxa"/>
            <w:shd w:val="clear" w:color="auto" w:fill="auto"/>
          </w:tcPr>
          <w:p>
            <w:pPr>
              <w:spacing w:before="136" w:line="162" w:lineRule="auto"/>
              <w:ind w:left="557"/>
              <w:rPr>
                <w:rFonts w:ascii="仿宋_GB2312" w:hAnsi="仿宋_GB2312" w:eastAsia="仿宋_GB2312" w:cs="仿宋_GB2312"/>
                <w:sz w:val="30"/>
                <w:szCs w:val="30"/>
              </w:rPr>
            </w:pPr>
            <w:r>
              <w:rPr>
                <w:rFonts w:hint="eastAsia" w:ascii="仿宋_GB2312" w:hAnsi="仿宋_GB2312" w:eastAsia="仿宋_GB2312" w:cs="仿宋_GB2312"/>
                <w:sz w:val="30"/>
                <w:szCs w:val="3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05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939" w:type="dxa"/>
            <w:shd w:val="clear" w:color="auto" w:fill="auto"/>
          </w:tcPr>
          <w:p>
            <w:pPr>
              <w:spacing w:before="136" w:line="157" w:lineRule="auto"/>
              <w:ind w:left="381"/>
              <w:rPr>
                <w:rFonts w:ascii="仿宋_GB2312" w:hAnsi="仿宋_GB2312" w:eastAsia="仿宋_GB2312" w:cs="仿宋_GB2312"/>
                <w:sz w:val="30"/>
                <w:szCs w:val="30"/>
              </w:rPr>
            </w:pPr>
            <w:r>
              <w:rPr>
                <w:rFonts w:hint="eastAsia" w:ascii="仿宋_GB2312" w:hAnsi="仿宋_GB2312" w:eastAsia="仿宋_GB2312" w:cs="仿宋_GB2312"/>
                <w:sz w:val="30"/>
                <w:szCs w:val="30"/>
              </w:rPr>
              <w:t>4</w:t>
            </w:r>
          </w:p>
        </w:tc>
        <w:tc>
          <w:tcPr>
            <w:tcW w:w="3696" w:type="dxa"/>
            <w:shd w:val="clear" w:color="auto" w:fill="auto"/>
          </w:tcPr>
          <w:p>
            <w:pPr>
              <w:spacing w:before="60" w:line="202" w:lineRule="auto"/>
              <w:ind w:left="71"/>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加压袋</w:t>
            </w:r>
          </w:p>
        </w:tc>
        <w:tc>
          <w:tcPr>
            <w:tcW w:w="1268" w:type="dxa"/>
            <w:shd w:val="clear" w:color="auto" w:fill="auto"/>
          </w:tcPr>
          <w:p>
            <w:pPr>
              <w:spacing w:before="60" w:line="202"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只</w:t>
            </w:r>
          </w:p>
        </w:tc>
        <w:tc>
          <w:tcPr>
            <w:tcW w:w="1283" w:type="dxa"/>
            <w:shd w:val="clear" w:color="auto" w:fill="auto"/>
          </w:tcPr>
          <w:p>
            <w:pPr>
              <w:spacing w:before="137" w:line="262" w:lineRule="exact"/>
              <w:ind w:left="557"/>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05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939" w:type="dxa"/>
            <w:shd w:val="clear" w:color="auto" w:fill="auto"/>
          </w:tcPr>
          <w:p>
            <w:pPr>
              <w:spacing w:before="197" w:line="182" w:lineRule="auto"/>
              <w:ind w:left="381"/>
              <w:rPr>
                <w:rFonts w:ascii="仿宋_GB2312" w:hAnsi="仿宋_GB2312" w:eastAsia="仿宋_GB2312" w:cs="仿宋_GB2312"/>
                <w:sz w:val="30"/>
                <w:szCs w:val="30"/>
              </w:rPr>
            </w:pPr>
            <w:r>
              <w:rPr>
                <w:rFonts w:hint="eastAsia" w:ascii="仿宋_GB2312" w:hAnsi="仿宋_GB2312" w:eastAsia="仿宋_GB2312" w:cs="仿宋_GB2312"/>
                <w:sz w:val="30"/>
                <w:szCs w:val="30"/>
              </w:rPr>
              <w:t>5</w:t>
            </w:r>
          </w:p>
        </w:tc>
        <w:tc>
          <w:tcPr>
            <w:tcW w:w="3696" w:type="dxa"/>
            <w:shd w:val="clear" w:color="auto" w:fill="auto"/>
          </w:tcPr>
          <w:p>
            <w:pPr>
              <w:spacing w:before="113" w:line="219" w:lineRule="auto"/>
              <w:ind w:left="71"/>
              <w:rPr>
                <w:rFonts w:ascii="仿宋_GB2312" w:hAnsi="仿宋_GB2312" w:eastAsia="仿宋_GB2312" w:cs="仿宋_GB2312"/>
                <w:sz w:val="30"/>
                <w:szCs w:val="30"/>
              </w:rPr>
            </w:pPr>
            <w:r>
              <w:rPr>
                <w:rFonts w:hint="eastAsia" w:ascii="仿宋_GB2312" w:hAnsi="仿宋_GB2312" w:eastAsia="仿宋_GB2312" w:cs="仿宋_GB2312"/>
                <w:spacing w:val="3"/>
                <w:sz w:val="30"/>
                <w:szCs w:val="30"/>
              </w:rPr>
              <w:t>精密注射泵</w:t>
            </w:r>
          </w:p>
        </w:tc>
        <w:tc>
          <w:tcPr>
            <w:tcW w:w="1268" w:type="dxa"/>
            <w:shd w:val="clear" w:color="auto" w:fill="auto"/>
          </w:tcPr>
          <w:p>
            <w:pPr>
              <w:spacing w:before="119" w:line="221"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283" w:type="dxa"/>
            <w:shd w:val="clear" w:color="auto" w:fill="auto"/>
          </w:tcPr>
          <w:p>
            <w:pPr>
              <w:spacing w:before="194" w:line="184" w:lineRule="auto"/>
              <w:ind w:left="247"/>
              <w:rPr>
                <w:rFonts w:ascii="仿宋_GB2312" w:hAnsi="仿宋_GB2312" w:eastAsia="仿宋_GB2312" w:cs="仿宋_GB2312"/>
                <w:sz w:val="30"/>
                <w:szCs w:val="30"/>
              </w:rPr>
            </w:pPr>
            <w:r>
              <w:rPr>
                <w:rFonts w:hint="eastAsia" w:ascii="仿宋_GB2312" w:hAnsi="仿宋_GB2312" w:eastAsia="仿宋_GB2312" w:cs="仿宋_GB2312"/>
                <w:spacing w:val="-6"/>
                <w:sz w:val="30"/>
                <w:szCs w:val="30"/>
              </w:rPr>
              <w:t>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5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939" w:type="dxa"/>
            <w:shd w:val="clear" w:color="auto" w:fill="auto"/>
          </w:tcPr>
          <w:p>
            <w:pPr>
              <w:spacing w:before="136" w:line="162" w:lineRule="auto"/>
              <w:ind w:left="381"/>
              <w:rPr>
                <w:rFonts w:ascii="仿宋_GB2312" w:hAnsi="仿宋_GB2312" w:eastAsia="仿宋_GB2312" w:cs="仿宋_GB2312"/>
                <w:sz w:val="30"/>
                <w:szCs w:val="30"/>
              </w:rPr>
            </w:pPr>
            <w:r>
              <w:rPr>
                <w:rFonts w:hint="eastAsia" w:ascii="仿宋_GB2312" w:hAnsi="仿宋_GB2312" w:eastAsia="仿宋_GB2312" w:cs="仿宋_GB2312"/>
                <w:sz w:val="30"/>
                <w:szCs w:val="30"/>
              </w:rPr>
              <w:t>6</w:t>
            </w:r>
          </w:p>
        </w:tc>
        <w:tc>
          <w:tcPr>
            <w:tcW w:w="3696" w:type="dxa"/>
            <w:shd w:val="clear" w:color="auto" w:fill="auto"/>
          </w:tcPr>
          <w:p>
            <w:pPr>
              <w:spacing w:before="54" w:line="211" w:lineRule="auto"/>
              <w:ind w:left="7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简易呼吸球囊</w:t>
            </w:r>
          </w:p>
        </w:tc>
        <w:tc>
          <w:tcPr>
            <w:tcW w:w="1268" w:type="dxa"/>
            <w:shd w:val="clear" w:color="auto" w:fill="auto"/>
          </w:tcPr>
          <w:p>
            <w:pPr>
              <w:spacing w:before="61" w:line="207"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只</w:t>
            </w:r>
          </w:p>
        </w:tc>
        <w:tc>
          <w:tcPr>
            <w:tcW w:w="1283" w:type="dxa"/>
            <w:shd w:val="clear" w:color="auto" w:fill="auto"/>
          </w:tcPr>
          <w:p>
            <w:pPr>
              <w:spacing w:before="138" w:line="161" w:lineRule="auto"/>
              <w:ind w:left="557"/>
              <w:rPr>
                <w:rFonts w:ascii="仿宋_GB2312" w:hAnsi="仿宋_GB2312" w:eastAsia="仿宋_GB2312" w:cs="仿宋_GB2312"/>
                <w:sz w:val="30"/>
                <w:szCs w:val="30"/>
              </w:rPr>
            </w:pPr>
            <w:r>
              <w:rPr>
                <w:rFonts w:hint="eastAsia" w:ascii="仿宋_GB2312" w:hAnsi="仿宋_GB2312" w:eastAsia="仿宋_GB2312" w:cs="仿宋_GB2312"/>
                <w:sz w:val="30"/>
                <w:szCs w:val="3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5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939" w:type="dxa"/>
            <w:shd w:val="clear" w:color="auto" w:fill="auto"/>
          </w:tcPr>
          <w:p>
            <w:pPr>
              <w:spacing w:before="149" w:line="161" w:lineRule="auto"/>
              <w:ind w:left="381"/>
              <w:rPr>
                <w:rFonts w:ascii="仿宋_GB2312" w:hAnsi="仿宋_GB2312" w:eastAsia="仿宋_GB2312" w:cs="仿宋_GB2312"/>
                <w:sz w:val="30"/>
                <w:szCs w:val="30"/>
              </w:rPr>
            </w:pPr>
            <w:r>
              <w:rPr>
                <w:rFonts w:hint="eastAsia" w:ascii="仿宋_GB2312" w:hAnsi="仿宋_GB2312" w:eastAsia="仿宋_GB2312" w:cs="仿宋_GB2312"/>
                <w:sz w:val="30"/>
                <w:szCs w:val="30"/>
              </w:rPr>
              <w:t>7</w:t>
            </w:r>
          </w:p>
        </w:tc>
        <w:tc>
          <w:tcPr>
            <w:tcW w:w="3696" w:type="dxa"/>
            <w:shd w:val="clear" w:color="auto" w:fill="auto"/>
          </w:tcPr>
          <w:p>
            <w:pPr>
              <w:spacing w:before="67" w:line="210" w:lineRule="auto"/>
              <w:ind w:left="71"/>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血气机</w:t>
            </w:r>
          </w:p>
        </w:tc>
        <w:tc>
          <w:tcPr>
            <w:tcW w:w="1268" w:type="dxa"/>
            <w:shd w:val="clear" w:color="auto" w:fill="auto"/>
          </w:tcPr>
          <w:p>
            <w:pPr>
              <w:spacing w:before="58" w:line="215"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283" w:type="dxa"/>
            <w:shd w:val="clear" w:color="auto" w:fill="auto"/>
          </w:tcPr>
          <w:p>
            <w:pPr>
              <w:spacing w:before="146" w:line="163" w:lineRule="auto"/>
              <w:ind w:left="55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05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939" w:type="dxa"/>
            <w:shd w:val="clear" w:color="auto" w:fill="auto"/>
          </w:tcPr>
          <w:p>
            <w:pPr>
              <w:spacing w:before="127" w:line="262" w:lineRule="exact"/>
              <w:ind w:left="381"/>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8</w:t>
            </w:r>
          </w:p>
        </w:tc>
        <w:tc>
          <w:tcPr>
            <w:tcW w:w="3696" w:type="dxa"/>
            <w:shd w:val="clear" w:color="auto" w:fill="auto"/>
          </w:tcPr>
          <w:p>
            <w:pPr>
              <w:spacing w:before="47" w:line="204" w:lineRule="auto"/>
              <w:ind w:left="7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医用降温毯</w:t>
            </w:r>
          </w:p>
        </w:tc>
        <w:tc>
          <w:tcPr>
            <w:tcW w:w="1268" w:type="dxa"/>
            <w:shd w:val="clear" w:color="auto" w:fill="auto"/>
          </w:tcPr>
          <w:p>
            <w:pPr>
              <w:spacing w:before="54" w:line="200"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合</w:t>
            </w:r>
          </w:p>
        </w:tc>
        <w:tc>
          <w:tcPr>
            <w:tcW w:w="1283" w:type="dxa"/>
            <w:shd w:val="clear" w:color="auto" w:fill="auto"/>
          </w:tcPr>
          <w:p>
            <w:pPr>
              <w:spacing w:before="127" w:line="262" w:lineRule="exact"/>
              <w:ind w:left="558"/>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5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939" w:type="dxa"/>
            <w:shd w:val="clear" w:color="auto" w:fill="auto"/>
          </w:tcPr>
          <w:p>
            <w:pPr>
              <w:spacing w:before="136" w:line="162" w:lineRule="auto"/>
              <w:ind w:left="381"/>
              <w:rPr>
                <w:rFonts w:ascii="仿宋_GB2312" w:hAnsi="仿宋_GB2312" w:eastAsia="仿宋_GB2312" w:cs="仿宋_GB2312"/>
                <w:sz w:val="30"/>
                <w:szCs w:val="30"/>
              </w:rPr>
            </w:pPr>
            <w:r>
              <w:rPr>
                <w:rFonts w:hint="eastAsia" w:ascii="仿宋_GB2312" w:hAnsi="仿宋_GB2312" w:eastAsia="仿宋_GB2312" w:cs="仿宋_GB2312"/>
                <w:sz w:val="30"/>
                <w:szCs w:val="30"/>
              </w:rPr>
              <w:t>9</w:t>
            </w:r>
          </w:p>
        </w:tc>
        <w:tc>
          <w:tcPr>
            <w:tcW w:w="3696" w:type="dxa"/>
            <w:shd w:val="clear" w:color="auto" w:fill="auto"/>
          </w:tcPr>
          <w:p>
            <w:pPr>
              <w:spacing w:before="59" w:line="208" w:lineRule="auto"/>
              <w:ind w:left="71"/>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雾化器</w:t>
            </w:r>
          </w:p>
        </w:tc>
        <w:tc>
          <w:tcPr>
            <w:tcW w:w="1268" w:type="dxa"/>
            <w:shd w:val="clear" w:color="auto" w:fill="auto"/>
          </w:tcPr>
          <w:p>
            <w:pPr>
              <w:spacing w:before="58" w:line="209"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283" w:type="dxa"/>
            <w:shd w:val="clear" w:color="auto" w:fill="auto"/>
          </w:tcPr>
          <w:p>
            <w:pPr>
              <w:spacing w:before="140" w:line="160" w:lineRule="auto"/>
              <w:ind w:left="557"/>
              <w:rPr>
                <w:rFonts w:ascii="仿宋_GB2312" w:hAnsi="仿宋_GB2312" w:eastAsia="仿宋_GB2312" w:cs="仿宋_GB2312"/>
                <w:sz w:val="30"/>
                <w:szCs w:val="30"/>
              </w:rPr>
            </w:pPr>
            <w:r>
              <w:rPr>
                <w:rFonts w:hint="eastAsia" w:ascii="仿宋_GB2312" w:hAnsi="仿宋_GB2312" w:eastAsia="仿宋_GB2312" w:cs="仿宋_GB2312"/>
                <w:sz w:val="30"/>
                <w:szCs w:val="3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54" w:type="dxa"/>
            <w:vMerge w:val="continue"/>
            <w:tcBorders>
              <w:top w:val="nil"/>
            </w:tcBorders>
            <w:shd w:val="clear" w:color="auto" w:fill="auto"/>
          </w:tcPr>
          <w:p>
            <w:pPr>
              <w:rPr>
                <w:rFonts w:ascii="仿宋_GB2312" w:hAnsi="仿宋_GB2312" w:eastAsia="仿宋_GB2312" w:cs="仿宋_GB2312"/>
                <w:sz w:val="30"/>
                <w:szCs w:val="30"/>
              </w:rPr>
            </w:pPr>
          </w:p>
        </w:tc>
        <w:tc>
          <w:tcPr>
            <w:tcW w:w="939" w:type="dxa"/>
            <w:shd w:val="clear" w:color="auto" w:fill="auto"/>
          </w:tcPr>
          <w:p>
            <w:pPr>
              <w:spacing w:before="136" w:line="162" w:lineRule="auto"/>
              <w:ind w:left="300"/>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10</w:t>
            </w:r>
          </w:p>
        </w:tc>
        <w:tc>
          <w:tcPr>
            <w:tcW w:w="3696" w:type="dxa"/>
            <w:shd w:val="clear" w:color="auto" w:fill="auto"/>
          </w:tcPr>
          <w:p>
            <w:pPr>
              <w:spacing w:before="58" w:line="209" w:lineRule="auto"/>
              <w:ind w:left="71"/>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排痰机</w:t>
            </w:r>
          </w:p>
        </w:tc>
        <w:tc>
          <w:tcPr>
            <w:tcW w:w="1268" w:type="dxa"/>
            <w:shd w:val="clear" w:color="auto" w:fill="auto"/>
          </w:tcPr>
          <w:p>
            <w:pPr>
              <w:spacing w:before="101" w:line="189"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283" w:type="dxa"/>
            <w:shd w:val="clear" w:color="auto" w:fill="auto"/>
          </w:tcPr>
          <w:p>
            <w:pPr>
              <w:spacing w:before="138" w:line="161" w:lineRule="auto"/>
              <w:ind w:left="557"/>
              <w:rPr>
                <w:rFonts w:ascii="仿宋_GB2312" w:hAnsi="仿宋_GB2312" w:eastAsia="仿宋_GB2312" w:cs="仿宋_GB2312"/>
                <w:sz w:val="30"/>
                <w:szCs w:val="30"/>
              </w:rPr>
            </w:pPr>
            <w:r>
              <w:rPr>
                <w:rFonts w:hint="eastAsia" w:ascii="仿宋_GB2312" w:hAnsi="仿宋_GB2312" w:eastAsia="仿宋_GB2312" w:cs="仿宋_GB2312"/>
                <w:sz w:val="30"/>
                <w:szCs w:val="3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54" w:type="dxa"/>
            <w:vMerge w:val="restart"/>
            <w:tcBorders>
              <w:bottom w:val="nil"/>
            </w:tcBorders>
            <w:shd w:val="clear" w:color="auto" w:fill="auto"/>
          </w:tcPr>
          <w:p>
            <w:pPr>
              <w:spacing w:before="50" w:line="220" w:lineRule="auto"/>
              <w:ind w:left="204"/>
              <w:rPr>
                <w:rFonts w:ascii="仿宋_GB2312" w:hAnsi="仿宋_GB2312" w:eastAsia="仿宋_GB2312" w:cs="仿宋_GB2312"/>
                <w:b/>
                <w:bCs/>
                <w:sz w:val="30"/>
                <w:szCs w:val="30"/>
              </w:rPr>
            </w:pPr>
            <w:r>
              <w:rPr>
                <w:rFonts w:hint="eastAsia" w:ascii="仿宋_GB2312" w:hAnsi="仿宋_GB2312" w:eastAsia="仿宋_GB2312" w:cs="仿宋_GB2312"/>
                <w:b/>
                <w:bCs/>
                <w:spacing w:val="6"/>
                <w:sz w:val="30"/>
                <w:szCs w:val="30"/>
              </w:rPr>
              <w:t>呼吸</w:t>
            </w:r>
          </w:p>
          <w:p>
            <w:pPr>
              <w:spacing w:before="64"/>
              <w:ind w:left="209"/>
              <w:rPr>
                <w:rFonts w:ascii="仿宋_GB2312" w:hAnsi="仿宋_GB2312" w:eastAsia="仿宋_GB2312" w:cs="仿宋_GB2312"/>
                <w:b/>
                <w:bCs/>
                <w:sz w:val="30"/>
                <w:szCs w:val="30"/>
              </w:rPr>
            </w:pPr>
            <w:r>
              <w:rPr>
                <w:rFonts w:hint="eastAsia" w:ascii="仿宋_GB2312" w:hAnsi="仿宋_GB2312" w:eastAsia="仿宋_GB2312" w:cs="仿宋_GB2312"/>
                <w:b/>
                <w:bCs/>
                <w:spacing w:val="-7"/>
                <w:sz w:val="30"/>
                <w:szCs w:val="30"/>
              </w:rPr>
              <w:t>支持</w:t>
            </w:r>
          </w:p>
          <w:p>
            <w:pPr>
              <w:spacing w:line="191" w:lineRule="auto"/>
              <w:ind w:left="209"/>
              <w:rPr>
                <w:rFonts w:ascii="仿宋_GB2312" w:hAnsi="仿宋_GB2312" w:eastAsia="仿宋_GB2312" w:cs="仿宋_GB2312"/>
                <w:sz w:val="30"/>
                <w:szCs w:val="30"/>
              </w:rPr>
            </w:pPr>
            <w:r>
              <w:rPr>
                <w:rFonts w:hint="eastAsia" w:ascii="仿宋_GB2312" w:hAnsi="仿宋_GB2312" w:eastAsia="仿宋_GB2312" w:cs="仿宋_GB2312"/>
                <w:b/>
                <w:bCs/>
                <w:spacing w:val="-1"/>
                <w:sz w:val="30"/>
                <w:szCs w:val="30"/>
              </w:rPr>
              <w:t>设备</w:t>
            </w:r>
          </w:p>
        </w:tc>
        <w:tc>
          <w:tcPr>
            <w:tcW w:w="939" w:type="dxa"/>
            <w:shd w:val="clear" w:color="auto" w:fill="auto"/>
          </w:tcPr>
          <w:p>
            <w:pPr>
              <w:spacing w:before="137" w:line="162" w:lineRule="auto"/>
              <w:ind w:left="300"/>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11</w:t>
            </w:r>
          </w:p>
        </w:tc>
        <w:tc>
          <w:tcPr>
            <w:tcW w:w="3696" w:type="dxa"/>
            <w:shd w:val="clear" w:color="auto" w:fill="auto"/>
          </w:tcPr>
          <w:p>
            <w:pPr>
              <w:spacing w:before="59" w:line="209" w:lineRule="auto"/>
              <w:ind w:left="71"/>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高流量湿化氧疗系统</w:t>
            </w:r>
          </w:p>
        </w:tc>
        <w:tc>
          <w:tcPr>
            <w:tcW w:w="1268" w:type="dxa"/>
            <w:shd w:val="clear" w:color="auto" w:fill="auto"/>
          </w:tcPr>
          <w:p>
            <w:pPr>
              <w:spacing w:before="60" w:line="208"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283" w:type="dxa"/>
            <w:shd w:val="clear" w:color="auto" w:fill="auto"/>
          </w:tcPr>
          <w:p>
            <w:pPr>
              <w:spacing w:before="141" w:line="160" w:lineRule="auto"/>
              <w:ind w:left="557"/>
              <w:rPr>
                <w:rFonts w:ascii="仿宋_GB2312" w:hAnsi="仿宋_GB2312" w:eastAsia="仿宋_GB2312" w:cs="仿宋_GB2312"/>
                <w:sz w:val="30"/>
                <w:szCs w:val="30"/>
              </w:rPr>
            </w:pPr>
            <w:r>
              <w:rPr>
                <w:rFonts w:hint="eastAsia" w:ascii="仿宋_GB2312" w:hAnsi="仿宋_GB2312" w:eastAsia="仿宋_GB2312" w:cs="仿宋_GB2312"/>
                <w:sz w:val="30"/>
                <w:szCs w:val="3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54" w:type="dxa"/>
            <w:vMerge w:val="continue"/>
            <w:tcBorders>
              <w:top w:val="nil"/>
            </w:tcBorders>
            <w:shd w:val="clear" w:color="auto" w:fill="auto"/>
          </w:tcPr>
          <w:p>
            <w:pPr>
              <w:rPr>
                <w:rFonts w:ascii="仿宋_GB2312" w:hAnsi="仿宋_GB2312" w:eastAsia="仿宋_GB2312" w:cs="仿宋_GB2312"/>
                <w:sz w:val="30"/>
                <w:szCs w:val="30"/>
              </w:rPr>
            </w:pPr>
          </w:p>
        </w:tc>
        <w:tc>
          <w:tcPr>
            <w:tcW w:w="939" w:type="dxa"/>
            <w:shd w:val="clear" w:color="auto" w:fill="auto"/>
          </w:tcPr>
          <w:p>
            <w:pPr>
              <w:spacing w:before="328" w:line="184" w:lineRule="auto"/>
              <w:ind w:left="300"/>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12</w:t>
            </w:r>
          </w:p>
        </w:tc>
        <w:tc>
          <w:tcPr>
            <w:tcW w:w="3696" w:type="dxa"/>
            <w:shd w:val="clear" w:color="auto" w:fill="auto"/>
          </w:tcPr>
          <w:p>
            <w:pPr>
              <w:spacing w:before="247" w:line="219" w:lineRule="auto"/>
              <w:ind w:left="7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无创呼吸机</w:t>
            </w:r>
          </w:p>
        </w:tc>
        <w:tc>
          <w:tcPr>
            <w:tcW w:w="1268" w:type="dxa"/>
            <w:shd w:val="clear" w:color="auto" w:fill="auto"/>
          </w:tcPr>
          <w:p>
            <w:pPr>
              <w:spacing w:before="253" w:line="221"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283" w:type="dxa"/>
            <w:shd w:val="clear" w:color="auto" w:fill="auto"/>
          </w:tcPr>
          <w:p>
            <w:pPr>
              <w:spacing w:before="329" w:line="183" w:lineRule="auto"/>
              <w:ind w:left="397"/>
              <w:rPr>
                <w:rFonts w:ascii="仿宋_GB2312" w:hAnsi="仿宋_GB2312" w:eastAsia="仿宋_GB2312" w:cs="仿宋_GB2312"/>
                <w:sz w:val="30"/>
                <w:szCs w:val="30"/>
              </w:rPr>
            </w:pPr>
            <w:r>
              <w:rPr>
                <w:rFonts w:hint="eastAsia" w:ascii="仿宋_GB2312" w:hAnsi="仿宋_GB2312" w:eastAsia="仿宋_GB2312" w:cs="仿宋_GB2312"/>
                <w:sz w:val="30"/>
                <w:szCs w:val="30"/>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054" w:type="dxa"/>
            <w:vMerge w:val="restart"/>
            <w:tcBorders>
              <w:bottom w:val="nil"/>
            </w:tcBorders>
            <w:shd w:val="clear" w:color="auto" w:fill="auto"/>
          </w:tcPr>
          <w:p>
            <w:pPr>
              <w:spacing w:before="75" w:line="222" w:lineRule="auto"/>
              <w:ind w:left="209"/>
              <w:rPr>
                <w:rFonts w:ascii="仿宋_GB2312" w:hAnsi="仿宋_GB2312" w:eastAsia="仿宋_GB2312" w:cs="仿宋_GB2312"/>
                <w:sz w:val="30"/>
                <w:szCs w:val="30"/>
              </w:rPr>
            </w:pPr>
            <w:r>
              <w:rPr>
                <w:rFonts w:hint="eastAsia" w:ascii="仿宋_GB2312" w:hAnsi="仿宋_GB2312" w:eastAsia="仿宋_GB2312" w:cs="仿宋_GB2312"/>
                <w:b/>
                <w:bCs/>
                <w:spacing w:val="-7"/>
                <w:sz w:val="30"/>
                <w:szCs w:val="30"/>
              </w:rPr>
              <w:t>抢救</w:t>
            </w:r>
          </w:p>
          <w:p>
            <w:pPr>
              <w:spacing w:before="1" w:line="214" w:lineRule="auto"/>
              <w:ind w:left="209"/>
              <w:rPr>
                <w:rFonts w:ascii="仿宋_GB2312" w:hAnsi="仿宋_GB2312" w:eastAsia="仿宋_GB2312" w:cs="仿宋_GB2312"/>
                <w:sz w:val="30"/>
                <w:szCs w:val="30"/>
              </w:rPr>
            </w:pPr>
            <w:r>
              <w:rPr>
                <w:rFonts w:hint="eastAsia" w:ascii="仿宋_GB2312" w:hAnsi="仿宋_GB2312" w:eastAsia="仿宋_GB2312" w:cs="仿宋_GB2312"/>
                <w:b/>
                <w:bCs/>
                <w:spacing w:val="-1"/>
                <w:sz w:val="30"/>
                <w:szCs w:val="30"/>
              </w:rPr>
              <w:t>设备</w:t>
            </w:r>
          </w:p>
        </w:tc>
        <w:tc>
          <w:tcPr>
            <w:tcW w:w="939" w:type="dxa"/>
            <w:shd w:val="clear" w:color="auto" w:fill="auto"/>
          </w:tcPr>
          <w:p>
            <w:pPr>
              <w:spacing w:before="139" w:line="261" w:lineRule="exact"/>
              <w:ind w:left="300"/>
              <w:rPr>
                <w:rFonts w:ascii="仿宋_GB2312" w:hAnsi="仿宋_GB2312" w:eastAsia="仿宋_GB2312" w:cs="仿宋_GB2312"/>
                <w:sz w:val="30"/>
                <w:szCs w:val="30"/>
              </w:rPr>
            </w:pPr>
            <w:r>
              <w:rPr>
                <w:rFonts w:hint="eastAsia" w:ascii="仿宋_GB2312" w:hAnsi="仿宋_GB2312" w:eastAsia="仿宋_GB2312" w:cs="仿宋_GB2312"/>
                <w:spacing w:val="-9"/>
                <w:position w:val="-3"/>
                <w:sz w:val="30"/>
                <w:szCs w:val="30"/>
              </w:rPr>
              <w:t>13</w:t>
            </w:r>
          </w:p>
        </w:tc>
        <w:tc>
          <w:tcPr>
            <w:tcW w:w="3696" w:type="dxa"/>
            <w:shd w:val="clear" w:color="auto" w:fill="auto"/>
          </w:tcPr>
          <w:p>
            <w:pPr>
              <w:spacing w:before="60" w:line="202" w:lineRule="auto"/>
              <w:ind w:left="71"/>
              <w:rPr>
                <w:rFonts w:ascii="仿宋_GB2312" w:hAnsi="仿宋_GB2312" w:eastAsia="仿宋_GB2312" w:cs="仿宋_GB2312"/>
                <w:sz w:val="30"/>
                <w:szCs w:val="30"/>
              </w:rPr>
            </w:pPr>
            <w:r>
              <w:rPr>
                <w:rFonts w:hint="eastAsia" w:ascii="仿宋_GB2312" w:hAnsi="仿宋_GB2312" w:eastAsia="仿宋_GB2312" w:cs="仿宋_GB2312"/>
                <w:spacing w:val="8"/>
                <w:sz w:val="30"/>
                <w:szCs w:val="30"/>
              </w:rPr>
              <w:t>急救推车(药柜)</w:t>
            </w:r>
          </w:p>
        </w:tc>
        <w:tc>
          <w:tcPr>
            <w:tcW w:w="1268" w:type="dxa"/>
            <w:shd w:val="clear" w:color="auto" w:fill="auto"/>
          </w:tcPr>
          <w:p>
            <w:pPr>
              <w:spacing w:before="52" w:line="207"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283" w:type="dxa"/>
            <w:shd w:val="clear" w:color="auto" w:fill="auto"/>
          </w:tcPr>
          <w:p>
            <w:pPr>
              <w:spacing w:before="139" w:line="261" w:lineRule="exact"/>
              <w:ind w:left="558"/>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54" w:type="dxa"/>
            <w:vMerge w:val="continue"/>
            <w:tcBorders>
              <w:top w:val="nil"/>
            </w:tcBorders>
            <w:shd w:val="clear" w:color="auto" w:fill="auto"/>
          </w:tcPr>
          <w:p>
            <w:pPr>
              <w:rPr>
                <w:rFonts w:ascii="仿宋_GB2312" w:hAnsi="仿宋_GB2312" w:eastAsia="仿宋_GB2312" w:cs="仿宋_GB2312"/>
                <w:sz w:val="30"/>
                <w:szCs w:val="30"/>
              </w:rPr>
            </w:pPr>
          </w:p>
        </w:tc>
        <w:tc>
          <w:tcPr>
            <w:tcW w:w="939" w:type="dxa"/>
            <w:shd w:val="clear" w:color="auto" w:fill="auto"/>
          </w:tcPr>
          <w:p>
            <w:pPr>
              <w:spacing w:before="139" w:line="259" w:lineRule="exact"/>
              <w:ind w:left="300"/>
              <w:rPr>
                <w:rFonts w:ascii="仿宋_GB2312" w:hAnsi="仿宋_GB2312" w:eastAsia="仿宋_GB2312" w:cs="仿宋_GB2312"/>
                <w:sz w:val="30"/>
                <w:szCs w:val="30"/>
              </w:rPr>
            </w:pPr>
            <w:r>
              <w:rPr>
                <w:rFonts w:hint="eastAsia" w:ascii="仿宋_GB2312" w:hAnsi="仿宋_GB2312" w:eastAsia="仿宋_GB2312" w:cs="仿宋_GB2312"/>
                <w:spacing w:val="-9"/>
                <w:position w:val="-3"/>
                <w:sz w:val="30"/>
                <w:szCs w:val="30"/>
              </w:rPr>
              <w:t>14</w:t>
            </w:r>
          </w:p>
        </w:tc>
        <w:tc>
          <w:tcPr>
            <w:tcW w:w="3696" w:type="dxa"/>
            <w:shd w:val="clear" w:color="auto" w:fill="auto"/>
          </w:tcPr>
          <w:p>
            <w:pPr>
              <w:spacing w:before="59" w:line="202" w:lineRule="auto"/>
              <w:ind w:left="71"/>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除颤监护仪</w:t>
            </w:r>
          </w:p>
        </w:tc>
        <w:tc>
          <w:tcPr>
            <w:tcW w:w="1268" w:type="dxa"/>
            <w:shd w:val="clear" w:color="auto" w:fill="auto"/>
          </w:tcPr>
          <w:p>
            <w:pPr>
              <w:spacing w:before="91" w:line="189"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283" w:type="dxa"/>
            <w:shd w:val="clear" w:color="auto" w:fill="auto"/>
          </w:tcPr>
          <w:p>
            <w:pPr>
              <w:spacing w:before="159" w:line="239" w:lineRule="exact"/>
              <w:ind w:left="558"/>
              <w:rPr>
                <w:rFonts w:ascii="仿宋_GB2312" w:hAnsi="仿宋_GB2312" w:eastAsia="仿宋_GB2312" w:cs="仿宋_GB2312"/>
                <w:sz w:val="30"/>
                <w:szCs w:val="30"/>
              </w:rPr>
            </w:pPr>
            <w:r>
              <w:rPr>
                <w:rFonts w:hint="eastAsia" w:ascii="仿宋_GB2312" w:hAnsi="仿宋_GB2312" w:eastAsia="仿宋_GB2312" w:cs="仿宋_GB2312"/>
                <w:position w:val="-4"/>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54" w:type="dxa"/>
            <w:vMerge w:val="restart"/>
            <w:tcBorders>
              <w:bottom w:val="nil"/>
            </w:tcBorders>
            <w:shd w:val="clear" w:color="auto" w:fill="auto"/>
          </w:tcPr>
          <w:p>
            <w:pPr>
              <w:spacing w:before="58" w:line="228" w:lineRule="auto"/>
              <w:ind w:left="209" w:right="206"/>
              <w:rPr>
                <w:rFonts w:ascii="仿宋_GB2312" w:hAnsi="仿宋_GB2312" w:eastAsia="仿宋_GB2312" w:cs="仿宋_GB2312"/>
                <w:sz w:val="30"/>
                <w:szCs w:val="30"/>
              </w:rPr>
            </w:pPr>
            <w:r>
              <w:rPr>
                <w:rFonts w:hint="eastAsia" w:ascii="仿宋_GB2312" w:hAnsi="仿宋_GB2312" w:eastAsia="仿宋_GB2312" w:cs="仿宋_GB2312"/>
                <w:b/>
                <w:bCs/>
                <w:spacing w:val="-7"/>
                <w:sz w:val="30"/>
                <w:szCs w:val="30"/>
              </w:rPr>
              <w:t>消毒 设备</w:t>
            </w:r>
          </w:p>
        </w:tc>
        <w:tc>
          <w:tcPr>
            <w:tcW w:w="939" w:type="dxa"/>
            <w:shd w:val="clear" w:color="auto" w:fill="auto"/>
          </w:tcPr>
          <w:p>
            <w:pPr>
              <w:spacing w:before="140" w:line="160" w:lineRule="auto"/>
              <w:ind w:left="300"/>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15</w:t>
            </w:r>
          </w:p>
        </w:tc>
        <w:tc>
          <w:tcPr>
            <w:tcW w:w="3696" w:type="dxa"/>
            <w:shd w:val="clear" w:color="auto" w:fill="auto"/>
          </w:tcPr>
          <w:p>
            <w:pPr>
              <w:spacing w:before="61" w:line="207" w:lineRule="auto"/>
              <w:ind w:left="71"/>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全自动清洗消毒器</w:t>
            </w:r>
          </w:p>
        </w:tc>
        <w:tc>
          <w:tcPr>
            <w:tcW w:w="1268" w:type="dxa"/>
            <w:shd w:val="clear" w:color="auto" w:fill="auto"/>
          </w:tcPr>
          <w:p>
            <w:pPr>
              <w:spacing w:before="63" w:line="206"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283" w:type="dxa"/>
            <w:shd w:val="clear" w:color="auto" w:fill="auto"/>
          </w:tcPr>
          <w:p>
            <w:pPr>
              <w:spacing w:before="140" w:line="160" w:lineRule="auto"/>
              <w:ind w:left="55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054" w:type="dxa"/>
            <w:vMerge w:val="continue"/>
            <w:tcBorders>
              <w:top w:val="nil"/>
            </w:tcBorders>
            <w:shd w:val="clear" w:color="auto" w:fill="auto"/>
          </w:tcPr>
          <w:p>
            <w:pPr>
              <w:rPr>
                <w:rFonts w:ascii="仿宋_GB2312" w:hAnsi="仿宋_GB2312" w:eastAsia="仿宋_GB2312" w:cs="仿宋_GB2312"/>
                <w:sz w:val="30"/>
                <w:szCs w:val="30"/>
              </w:rPr>
            </w:pPr>
          </w:p>
        </w:tc>
        <w:tc>
          <w:tcPr>
            <w:tcW w:w="939" w:type="dxa"/>
            <w:shd w:val="clear" w:color="auto" w:fill="auto"/>
          </w:tcPr>
          <w:p>
            <w:pPr>
              <w:spacing w:before="141" w:line="157" w:lineRule="auto"/>
              <w:ind w:left="300"/>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16</w:t>
            </w:r>
          </w:p>
        </w:tc>
        <w:tc>
          <w:tcPr>
            <w:tcW w:w="3696" w:type="dxa"/>
            <w:shd w:val="clear" w:color="auto" w:fill="auto"/>
          </w:tcPr>
          <w:p>
            <w:pPr>
              <w:spacing w:before="60" w:line="205" w:lineRule="auto"/>
              <w:ind w:left="71"/>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过氧化氢消毒机</w:t>
            </w:r>
          </w:p>
        </w:tc>
        <w:tc>
          <w:tcPr>
            <w:tcW w:w="1268" w:type="dxa"/>
            <w:shd w:val="clear" w:color="auto" w:fill="auto"/>
          </w:tcPr>
          <w:p>
            <w:pPr>
              <w:spacing w:before="96" w:line="190"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283" w:type="dxa"/>
            <w:shd w:val="clear" w:color="auto" w:fill="auto"/>
          </w:tcPr>
          <w:p>
            <w:pPr>
              <w:spacing w:before="171" w:line="233" w:lineRule="exact"/>
              <w:ind w:left="558"/>
              <w:rPr>
                <w:rFonts w:ascii="仿宋_GB2312" w:hAnsi="仿宋_GB2312" w:eastAsia="仿宋_GB2312" w:cs="仿宋_GB2312"/>
                <w:sz w:val="30"/>
                <w:szCs w:val="30"/>
              </w:rPr>
            </w:pPr>
            <w:r>
              <w:rPr>
                <w:rFonts w:hint="eastAsia" w:ascii="仿宋_GB2312" w:hAnsi="仿宋_GB2312" w:eastAsia="仿宋_GB2312" w:cs="仿宋_GB2312"/>
                <w:position w:val="-4"/>
                <w:sz w:val="30"/>
                <w:szCs w:val="30"/>
              </w:rPr>
              <w:t>1</w:t>
            </w:r>
          </w:p>
        </w:tc>
      </w:tr>
    </w:tbl>
    <w:p>
      <w:pPr>
        <w:spacing w:before="101" w:line="224" w:lineRule="auto"/>
        <w:rPr>
          <w:rFonts w:ascii="方正黑体_GBK" w:hAnsi="方正黑体_GBK" w:eastAsia="方正黑体_GBK" w:cs="方正黑体_GBK"/>
          <w:bCs/>
          <w:spacing w:val="-12"/>
          <w:sz w:val="32"/>
          <w:szCs w:val="32"/>
        </w:rPr>
      </w:pPr>
      <w:r>
        <w:rPr>
          <w:rFonts w:ascii="方正黑体_GBK" w:hAnsi="方正黑体_GBK" w:eastAsia="方正黑体_GBK" w:cs="方正黑体_GBK"/>
          <w:bCs/>
          <w:spacing w:val="-12"/>
          <w:sz w:val="32"/>
          <w:szCs w:val="32"/>
        </w:rPr>
        <w:br w:type="page"/>
      </w:r>
    </w:p>
    <w:p>
      <w:pPr>
        <w:spacing w:before="101" w:line="224" w:lineRule="auto"/>
        <w:rPr>
          <w:rFonts w:ascii="方正黑体_GBK" w:hAnsi="方正黑体_GBK" w:eastAsia="方正黑体_GBK" w:cs="方正黑体_GBK"/>
          <w:bCs/>
          <w:spacing w:val="-12"/>
          <w:sz w:val="32"/>
          <w:szCs w:val="32"/>
        </w:rPr>
      </w:pPr>
    </w:p>
    <w:p>
      <w:pPr>
        <w:spacing w:before="101" w:line="224" w:lineRule="auto"/>
        <w:rPr>
          <w:rFonts w:ascii="方正黑体_GBK" w:hAnsi="方正黑体_GBK" w:eastAsia="方正黑体_GBK" w:cs="方正黑体_GBK"/>
          <w:sz w:val="32"/>
          <w:szCs w:val="32"/>
        </w:rPr>
      </w:pPr>
      <w:r>
        <w:rPr>
          <w:rFonts w:hint="eastAsia" w:ascii="方正黑体_GBK" w:hAnsi="方正黑体_GBK" w:eastAsia="方正黑体_GBK" w:cs="方正黑体_GBK"/>
          <w:bCs/>
          <w:spacing w:val="-12"/>
          <w:sz w:val="32"/>
          <w:szCs w:val="32"/>
        </w:rPr>
        <w:t>附件6</w:t>
      </w:r>
    </w:p>
    <w:p>
      <w:pPr>
        <w:spacing w:line="309" w:lineRule="auto"/>
      </w:pPr>
    </w:p>
    <w:p>
      <w:pPr>
        <w:spacing w:line="560" w:lineRule="atLeast"/>
        <w:jc w:val="center"/>
        <w:rPr>
          <w:rFonts w:ascii="方正小标宋_GBK" w:hAnsi="方正小标宋_GBK" w:eastAsia="方正小标宋_GBK" w:cs="方正小标宋_GBK"/>
          <w:sz w:val="36"/>
          <w:szCs w:val="44"/>
        </w:rPr>
      </w:pPr>
      <w:r>
        <w:rPr>
          <w:rFonts w:hint="eastAsia" w:ascii="方正小标宋_GBK" w:hAnsi="方正小标宋_GBK" w:eastAsia="方正小标宋_GBK" w:cs="方正小标宋_GBK"/>
          <w:spacing w:val="-7"/>
          <w:sz w:val="36"/>
          <w:szCs w:val="44"/>
        </w:rPr>
        <w:t>缓冲病房监护设备配置标准</w:t>
      </w:r>
    </w:p>
    <w:p>
      <w:pPr>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b/>
          <w:bCs/>
          <w:spacing w:val="11"/>
          <w:sz w:val="32"/>
          <w:szCs w:val="32"/>
        </w:rPr>
        <w:t>(每病区设置4-6张缓冲床位设备建议清单)</w:t>
      </w:r>
    </w:p>
    <w:tbl>
      <w:tblPr>
        <w:tblStyle w:val="16"/>
        <w:tblW w:w="8060" w:type="dxa"/>
        <w:tblInd w:w="2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4"/>
        <w:gridCol w:w="1039"/>
        <w:gridCol w:w="3356"/>
        <w:gridCol w:w="1278"/>
        <w:gridCol w:w="13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1034" w:type="dxa"/>
            <w:shd w:val="clear" w:color="auto" w:fill="auto"/>
          </w:tcPr>
          <w:p>
            <w:pPr>
              <w:spacing w:before="55" w:line="222" w:lineRule="auto"/>
              <w:ind w:left="199" w:right="193"/>
              <w:rPr>
                <w:rFonts w:ascii="仿宋_GB2312" w:hAnsi="仿宋_GB2312" w:eastAsia="仿宋_GB2312" w:cs="仿宋_GB2312"/>
                <w:sz w:val="30"/>
                <w:szCs w:val="30"/>
              </w:rPr>
            </w:pPr>
            <w:r>
              <w:rPr>
                <w:rFonts w:hint="eastAsia" w:ascii="仿宋_GB2312" w:hAnsi="仿宋_GB2312" w:eastAsia="仿宋_GB2312" w:cs="仿宋_GB2312"/>
                <w:b/>
                <w:bCs/>
                <w:spacing w:val="-1"/>
                <w:sz w:val="30"/>
                <w:szCs w:val="30"/>
              </w:rPr>
              <w:t>设备</w:t>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b/>
                <w:bCs/>
                <w:spacing w:val="2"/>
                <w:sz w:val="30"/>
                <w:szCs w:val="30"/>
              </w:rPr>
              <w:t>类型</w:t>
            </w:r>
          </w:p>
        </w:tc>
        <w:tc>
          <w:tcPr>
            <w:tcW w:w="1039" w:type="dxa"/>
            <w:shd w:val="clear" w:color="auto" w:fill="auto"/>
          </w:tcPr>
          <w:p>
            <w:pPr>
              <w:spacing w:before="255" w:line="221" w:lineRule="auto"/>
              <w:ind w:left="205"/>
              <w:rPr>
                <w:rFonts w:ascii="仿宋_GB2312" w:hAnsi="仿宋_GB2312" w:eastAsia="仿宋_GB2312" w:cs="仿宋_GB2312"/>
                <w:sz w:val="30"/>
                <w:szCs w:val="30"/>
              </w:rPr>
            </w:pPr>
            <w:r>
              <w:rPr>
                <w:rFonts w:hint="eastAsia" w:ascii="仿宋_GB2312" w:hAnsi="仿宋_GB2312" w:eastAsia="仿宋_GB2312" w:cs="仿宋_GB2312"/>
                <w:b/>
                <w:bCs/>
                <w:spacing w:val="1"/>
                <w:sz w:val="30"/>
                <w:szCs w:val="30"/>
              </w:rPr>
              <w:t>序号</w:t>
            </w:r>
          </w:p>
        </w:tc>
        <w:tc>
          <w:tcPr>
            <w:tcW w:w="3356" w:type="dxa"/>
            <w:shd w:val="clear" w:color="auto" w:fill="auto"/>
          </w:tcPr>
          <w:p>
            <w:pPr>
              <w:spacing w:before="255" w:line="221" w:lineRule="auto"/>
              <w:ind w:left="1056"/>
              <w:rPr>
                <w:rFonts w:ascii="仿宋_GB2312" w:hAnsi="仿宋_GB2312" w:eastAsia="仿宋_GB2312" w:cs="仿宋_GB2312"/>
                <w:sz w:val="30"/>
                <w:szCs w:val="30"/>
              </w:rPr>
            </w:pPr>
            <w:r>
              <w:rPr>
                <w:rFonts w:hint="eastAsia" w:ascii="仿宋_GB2312" w:hAnsi="仿宋_GB2312" w:eastAsia="仿宋_GB2312" w:cs="仿宋_GB2312"/>
                <w:b/>
                <w:bCs/>
                <w:spacing w:val="-2"/>
                <w:sz w:val="30"/>
                <w:szCs w:val="30"/>
              </w:rPr>
              <w:t>设备名称</w:t>
            </w:r>
          </w:p>
        </w:tc>
        <w:tc>
          <w:tcPr>
            <w:tcW w:w="1278" w:type="dxa"/>
            <w:shd w:val="clear" w:color="auto" w:fill="auto"/>
          </w:tcPr>
          <w:p>
            <w:pPr>
              <w:spacing w:before="254" w:line="220" w:lineRule="auto"/>
              <w:ind w:left="330"/>
              <w:rPr>
                <w:rFonts w:ascii="仿宋_GB2312" w:hAnsi="仿宋_GB2312" w:eastAsia="仿宋_GB2312" w:cs="仿宋_GB2312"/>
                <w:sz w:val="30"/>
                <w:szCs w:val="30"/>
              </w:rPr>
            </w:pPr>
            <w:r>
              <w:rPr>
                <w:rFonts w:hint="eastAsia" w:ascii="仿宋_GB2312" w:hAnsi="仿宋_GB2312" w:eastAsia="仿宋_GB2312" w:cs="仿宋_GB2312"/>
                <w:b/>
                <w:bCs/>
                <w:spacing w:val="-7"/>
                <w:sz w:val="30"/>
                <w:szCs w:val="30"/>
              </w:rPr>
              <w:t>单位</w:t>
            </w:r>
          </w:p>
        </w:tc>
        <w:tc>
          <w:tcPr>
            <w:tcW w:w="1353" w:type="dxa"/>
            <w:shd w:val="clear" w:color="auto" w:fill="auto"/>
          </w:tcPr>
          <w:p>
            <w:pPr>
              <w:spacing w:before="253" w:line="219" w:lineRule="auto"/>
              <w:ind w:left="362"/>
              <w:rPr>
                <w:rFonts w:ascii="仿宋_GB2312" w:hAnsi="仿宋_GB2312" w:eastAsia="仿宋_GB2312" w:cs="仿宋_GB2312"/>
                <w:sz w:val="30"/>
                <w:szCs w:val="30"/>
              </w:rPr>
            </w:pPr>
            <w:r>
              <w:rPr>
                <w:rFonts w:hint="eastAsia" w:ascii="仿宋_GB2312" w:hAnsi="仿宋_GB2312" w:eastAsia="仿宋_GB2312" w:cs="仿宋_GB2312"/>
                <w:b/>
                <w:bCs/>
                <w:spacing w:val="-7"/>
                <w:sz w:val="30"/>
                <w:szCs w:val="30"/>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34" w:type="dxa"/>
            <w:vMerge w:val="restart"/>
            <w:tcBorders>
              <w:bottom w:val="nil"/>
            </w:tcBorders>
            <w:shd w:val="clear" w:color="auto" w:fill="auto"/>
          </w:tcPr>
          <w:p>
            <w:pPr>
              <w:spacing w:before="101" w:line="236" w:lineRule="auto"/>
              <w:ind w:right="196"/>
              <w:rPr>
                <w:rFonts w:ascii="仿宋_GB2312" w:hAnsi="仿宋_GB2312" w:eastAsia="仿宋_GB2312" w:cs="仿宋_GB2312"/>
                <w:sz w:val="30"/>
                <w:szCs w:val="30"/>
              </w:rPr>
            </w:pPr>
          </w:p>
          <w:p>
            <w:pPr>
              <w:spacing w:before="101" w:line="236" w:lineRule="auto"/>
              <w:ind w:right="196"/>
              <w:rPr>
                <w:rFonts w:ascii="仿宋_GB2312" w:hAnsi="仿宋_GB2312" w:eastAsia="仿宋_GB2312" w:cs="仿宋_GB2312"/>
                <w:sz w:val="30"/>
                <w:szCs w:val="30"/>
              </w:rPr>
            </w:pPr>
          </w:p>
          <w:p>
            <w:pPr>
              <w:spacing w:before="101" w:line="236" w:lineRule="auto"/>
              <w:ind w:right="196" w:firstLine="151" w:firstLineChars="50"/>
              <w:jc w:val="left"/>
              <w:rPr>
                <w:rFonts w:ascii="仿宋_GB2312" w:hAnsi="仿宋_GB2312" w:eastAsia="仿宋_GB2312" w:cs="仿宋_GB2312"/>
                <w:b/>
                <w:sz w:val="30"/>
                <w:szCs w:val="30"/>
              </w:rPr>
            </w:pPr>
            <w:r>
              <w:rPr>
                <w:rFonts w:hint="eastAsia" w:ascii="仿宋_GB2312" w:hAnsi="仿宋_GB2312" w:eastAsia="仿宋_GB2312" w:cs="仿宋_GB2312"/>
                <w:b/>
                <w:sz w:val="30"/>
                <w:szCs w:val="30"/>
              </w:rPr>
              <w:t>基础</w:t>
            </w:r>
          </w:p>
          <w:p>
            <w:pPr>
              <w:spacing w:before="101" w:line="236" w:lineRule="auto"/>
              <w:ind w:right="196" w:firstLine="151" w:firstLineChars="50"/>
              <w:jc w:val="left"/>
              <w:rPr>
                <w:rFonts w:ascii="仿宋_GB2312" w:hAnsi="仿宋_GB2312" w:eastAsia="仿宋_GB2312" w:cs="仿宋_GB2312"/>
                <w:b/>
                <w:sz w:val="30"/>
                <w:szCs w:val="30"/>
              </w:rPr>
            </w:pPr>
            <w:r>
              <w:rPr>
                <w:rFonts w:hint="eastAsia" w:ascii="仿宋_GB2312" w:hAnsi="仿宋_GB2312" w:eastAsia="仿宋_GB2312" w:cs="仿宋_GB2312"/>
                <w:b/>
                <w:sz w:val="30"/>
                <w:szCs w:val="30"/>
              </w:rPr>
              <w:t>设备</w:t>
            </w:r>
          </w:p>
          <w:p>
            <w:pPr>
              <w:pStyle w:val="2"/>
            </w:pPr>
          </w:p>
        </w:tc>
        <w:tc>
          <w:tcPr>
            <w:tcW w:w="1039" w:type="dxa"/>
            <w:shd w:val="clear" w:color="auto" w:fill="auto"/>
          </w:tcPr>
          <w:p>
            <w:pPr>
              <w:spacing w:before="132" w:line="165" w:lineRule="auto"/>
              <w:ind w:left="431"/>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c>
          <w:tcPr>
            <w:tcW w:w="3356" w:type="dxa"/>
            <w:shd w:val="clear" w:color="auto" w:fill="auto"/>
          </w:tcPr>
          <w:p>
            <w:pPr>
              <w:spacing w:before="52" w:line="213" w:lineRule="auto"/>
              <w:ind w:left="82"/>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供氧管路改造</w:t>
            </w:r>
          </w:p>
        </w:tc>
        <w:tc>
          <w:tcPr>
            <w:tcW w:w="1278" w:type="dxa"/>
            <w:shd w:val="clear" w:color="auto" w:fill="auto"/>
          </w:tcPr>
          <w:p>
            <w:pPr>
              <w:spacing w:before="54" w:line="212"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床</w:t>
            </w:r>
          </w:p>
        </w:tc>
        <w:tc>
          <w:tcPr>
            <w:tcW w:w="1353" w:type="dxa"/>
            <w:shd w:val="clear" w:color="auto" w:fill="auto"/>
          </w:tcPr>
          <w:p>
            <w:pPr>
              <w:spacing w:before="132" w:line="165" w:lineRule="auto"/>
              <w:ind w:left="437"/>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3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1039" w:type="dxa"/>
            <w:shd w:val="clear" w:color="auto" w:fill="auto"/>
          </w:tcPr>
          <w:p>
            <w:pPr>
              <w:spacing w:before="133" w:line="158" w:lineRule="auto"/>
              <w:ind w:left="431"/>
              <w:rPr>
                <w:rFonts w:ascii="仿宋_GB2312" w:hAnsi="仿宋_GB2312" w:eastAsia="仿宋_GB2312" w:cs="仿宋_GB2312"/>
                <w:sz w:val="30"/>
                <w:szCs w:val="30"/>
              </w:rPr>
            </w:pPr>
            <w:r>
              <w:rPr>
                <w:rFonts w:hint="eastAsia" w:ascii="仿宋_GB2312" w:hAnsi="仿宋_GB2312" w:eastAsia="仿宋_GB2312" w:cs="仿宋_GB2312"/>
                <w:sz w:val="30"/>
                <w:szCs w:val="30"/>
              </w:rPr>
              <w:t>2</w:t>
            </w:r>
          </w:p>
        </w:tc>
        <w:tc>
          <w:tcPr>
            <w:tcW w:w="3356" w:type="dxa"/>
            <w:shd w:val="clear" w:color="auto" w:fill="auto"/>
          </w:tcPr>
          <w:p>
            <w:pPr>
              <w:spacing w:before="53" w:line="206" w:lineRule="auto"/>
              <w:ind w:left="82"/>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床旁监护仪</w:t>
            </w:r>
          </w:p>
        </w:tc>
        <w:tc>
          <w:tcPr>
            <w:tcW w:w="1278" w:type="dxa"/>
            <w:shd w:val="clear" w:color="auto" w:fill="auto"/>
          </w:tcPr>
          <w:p>
            <w:pPr>
              <w:spacing w:before="54" w:line="205"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353" w:type="dxa"/>
            <w:shd w:val="clear" w:color="auto" w:fill="auto"/>
          </w:tcPr>
          <w:p>
            <w:pPr>
              <w:spacing w:before="133" w:line="158" w:lineRule="auto"/>
              <w:ind w:left="437"/>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3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1039" w:type="dxa"/>
            <w:shd w:val="clear" w:color="auto" w:fill="auto"/>
          </w:tcPr>
          <w:p>
            <w:pPr>
              <w:spacing w:before="134" w:line="164" w:lineRule="auto"/>
              <w:ind w:left="431"/>
              <w:rPr>
                <w:rFonts w:ascii="仿宋_GB2312" w:hAnsi="仿宋_GB2312" w:eastAsia="仿宋_GB2312" w:cs="仿宋_GB2312"/>
                <w:sz w:val="30"/>
                <w:szCs w:val="30"/>
              </w:rPr>
            </w:pPr>
            <w:r>
              <w:rPr>
                <w:rFonts w:hint="eastAsia" w:ascii="仿宋_GB2312" w:hAnsi="仿宋_GB2312" w:eastAsia="仿宋_GB2312" w:cs="仿宋_GB2312"/>
                <w:sz w:val="30"/>
                <w:szCs w:val="30"/>
              </w:rPr>
              <w:t>3</w:t>
            </w:r>
          </w:p>
        </w:tc>
        <w:tc>
          <w:tcPr>
            <w:tcW w:w="3356" w:type="dxa"/>
            <w:shd w:val="clear" w:color="auto" w:fill="auto"/>
          </w:tcPr>
          <w:p>
            <w:pPr>
              <w:spacing w:before="54" w:line="212" w:lineRule="auto"/>
              <w:ind w:left="82"/>
              <w:rPr>
                <w:rFonts w:ascii="仿宋_GB2312" w:hAnsi="仿宋_GB2312" w:eastAsia="仿宋_GB2312" w:cs="仿宋_GB2312"/>
                <w:sz w:val="30"/>
                <w:szCs w:val="30"/>
              </w:rPr>
            </w:pPr>
            <w:r>
              <w:rPr>
                <w:rFonts w:hint="eastAsia" w:ascii="仿宋_GB2312" w:hAnsi="仿宋_GB2312" w:eastAsia="仿宋_GB2312" w:cs="仿宋_GB2312"/>
                <w:spacing w:val="5"/>
                <w:sz w:val="30"/>
                <w:szCs w:val="30"/>
              </w:rPr>
              <w:t>脉氧夹</w:t>
            </w:r>
          </w:p>
        </w:tc>
        <w:tc>
          <w:tcPr>
            <w:tcW w:w="1278" w:type="dxa"/>
            <w:shd w:val="clear" w:color="auto" w:fill="auto"/>
          </w:tcPr>
          <w:p>
            <w:pPr>
              <w:spacing w:before="59" w:line="209"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353" w:type="dxa"/>
            <w:shd w:val="clear" w:color="auto" w:fill="auto"/>
          </w:tcPr>
          <w:p>
            <w:pPr>
              <w:spacing w:before="164" w:line="246" w:lineRule="exact"/>
              <w:ind w:left="588"/>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3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1039" w:type="dxa"/>
            <w:shd w:val="clear" w:color="auto" w:fill="auto"/>
          </w:tcPr>
          <w:p>
            <w:pPr>
              <w:spacing w:before="135" w:line="163" w:lineRule="auto"/>
              <w:ind w:left="431"/>
              <w:rPr>
                <w:rFonts w:ascii="仿宋_GB2312" w:hAnsi="仿宋_GB2312" w:eastAsia="仿宋_GB2312" w:cs="仿宋_GB2312"/>
                <w:sz w:val="30"/>
                <w:szCs w:val="30"/>
              </w:rPr>
            </w:pPr>
            <w:r>
              <w:rPr>
                <w:rFonts w:hint="eastAsia" w:ascii="仿宋_GB2312" w:hAnsi="仿宋_GB2312" w:eastAsia="仿宋_GB2312" w:cs="仿宋_GB2312"/>
                <w:sz w:val="30"/>
                <w:szCs w:val="30"/>
              </w:rPr>
              <w:t>4</w:t>
            </w:r>
          </w:p>
        </w:tc>
        <w:tc>
          <w:tcPr>
            <w:tcW w:w="3356" w:type="dxa"/>
            <w:shd w:val="clear" w:color="auto" w:fill="auto"/>
          </w:tcPr>
          <w:p>
            <w:pPr>
              <w:spacing w:before="59" w:line="208" w:lineRule="auto"/>
              <w:ind w:left="82"/>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加压袋</w:t>
            </w:r>
          </w:p>
        </w:tc>
        <w:tc>
          <w:tcPr>
            <w:tcW w:w="1278" w:type="dxa"/>
            <w:shd w:val="clear" w:color="auto" w:fill="auto"/>
          </w:tcPr>
          <w:p>
            <w:pPr>
              <w:spacing w:before="59" w:line="208"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只</w:t>
            </w:r>
          </w:p>
        </w:tc>
        <w:tc>
          <w:tcPr>
            <w:tcW w:w="1353" w:type="dxa"/>
            <w:shd w:val="clear" w:color="auto" w:fill="auto"/>
          </w:tcPr>
          <w:p>
            <w:pPr>
              <w:spacing w:before="135" w:line="163" w:lineRule="auto"/>
              <w:ind w:left="588"/>
              <w:rPr>
                <w:rFonts w:ascii="仿宋_GB2312" w:hAnsi="仿宋_GB2312" w:eastAsia="仿宋_GB2312" w:cs="仿宋_GB2312"/>
                <w:sz w:val="30"/>
                <w:szCs w:val="30"/>
              </w:rPr>
            </w:pPr>
            <w:r>
              <w:rPr>
                <w:rFonts w:hint="eastAsia" w:ascii="仿宋_GB2312" w:hAnsi="仿宋_GB2312" w:eastAsia="仿宋_GB2312" w:cs="仿宋_GB2312"/>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3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1039" w:type="dxa"/>
            <w:shd w:val="clear" w:color="auto" w:fill="auto"/>
          </w:tcPr>
          <w:p>
            <w:pPr>
              <w:spacing w:before="138" w:line="161" w:lineRule="auto"/>
              <w:ind w:left="431"/>
              <w:rPr>
                <w:rFonts w:ascii="仿宋_GB2312" w:hAnsi="仿宋_GB2312" w:eastAsia="仿宋_GB2312" w:cs="仿宋_GB2312"/>
                <w:sz w:val="30"/>
                <w:szCs w:val="30"/>
              </w:rPr>
            </w:pPr>
            <w:r>
              <w:rPr>
                <w:rFonts w:hint="eastAsia" w:ascii="仿宋_GB2312" w:hAnsi="仿宋_GB2312" w:eastAsia="仿宋_GB2312" w:cs="仿宋_GB2312"/>
                <w:sz w:val="30"/>
                <w:szCs w:val="30"/>
              </w:rPr>
              <w:t>5</w:t>
            </w:r>
          </w:p>
        </w:tc>
        <w:tc>
          <w:tcPr>
            <w:tcW w:w="3356" w:type="dxa"/>
            <w:shd w:val="clear" w:color="auto" w:fill="auto"/>
          </w:tcPr>
          <w:p>
            <w:pPr>
              <w:spacing w:before="54" w:line="211" w:lineRule="auto"/>
              <w:ind w:left="82"/>
              <w:rPr>
                <w:rFonts w:ascii="仿宋_GB2312" w:hAnsi="仿宋_GB2312" w:eastAsia="仿宋_GB2312" w:cs="仿宋_GB2312"/>
                <w:sz w:val="30"/>
                <w:szCs w:val="30"/>
              </w:rPr>
            </w:pPr>
            <w:r>
              <w:rPr>
                <w:rFonts w:hint="eastAsia" w:ascii="仿宋_GB2312" w:hAnsi="仿宋_GB2312" w:eastAsia="仿宋_GB2312" w:cs="仿宋_GB2312"/>
                <w:spacing w:val="3"/>
                <w:sz w:val="30"/>
                <w:szCs w:val="30"/>
              </w:rPr>
              <w:t>精密注射泵</w:t>
            </w:r>
          </w:p>
        </w:tc>
        <w:tc>
          <w:tcPr>
            <w:tcW w:w="1278" w:type="dxa"/>
            <w:shd w:val="clear" w:color="auto" w:fill="auto"/>
          </w:tcPr>
          <w:p>
            <w:pPr>
              <w:spacing w:before="59" w:line="208"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台</w:t>
            </w:r>
          </w:p>
        </w:tc>
        <w:tc>
          <w:tcPr>
            <w:tcW w:w="1353" w:type="dxa"/>
            <w:shd w:val="clear" w:color="auto" w:fill="auto"/>
          </w:tcPr>
          <w:p>
            <w:pPr>
              <w:spacing w:before="135" w:line="163" w:lineRule="auto"/>
              <w:ind w:left="358"/>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3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1039" w:type="dxa"/>
            <w:shd w:val="clear" w:color="auto" w:fill="auto"/>
          </w:tcPr>
          <w:p>
            <w:pPr>
              <w:spacing w:before="136" w:line="163" w:lineRule="auto"/>
              <w:ind w:left="431"/>
              <w:rPr>
                <w:rFonts w:ascii="仿宋_GB2312" w:hAnsi="仿宋_GB2312" w:eastAsia="仿宋_GB2312" w:cs="仿宋_GB2312"/>
                <w:sz w:val="30"/>
                <w:szCs w:val="30"/>
              </w:rPr>
            </w:pPr>
            <w:r>
              <w:rPr>
                <w:rFonts w:hint="eastAsia" w:ascii="仿宋_GB2312" w:hAnsi="仿宋_GB2312" w:eastAsia="仿宋_GB2312" w:cs="仿宋_GB2312"/>
                <w:sz w:val="30"/>
                <w:szCs w:val="30"/>
              </w:rPr>
              <w:t>6</w:t>
            </w:r>
          </w:p>
        </w:tc>
        <w:tc>
          <w:tcPr>
            <w:tcW w:w="3356" w:type="dxa"/>
            <w:shd w:val="clear" w:color="auto" w:fill="auto"/>
          </w:tcPr>
          <w:p>
            <w:pPr>
              <w:spacing w:before="55" w:line="211" w:lineRule="auto"/>
              <w:ind w:left="82"/>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简易呼吸球囊</w:t>
            </w:r>
          </w:p>
        </w:tc>
        <w:tc>
          <w:tcPr>
            <w:tcW w:w="1278" w:type="dxa"/>
            <w:shd w:val="clear" w:color="auto" w:fill="auto"/>
          </w:tcPr>
          <w:p>
            <w:pPr>
              <w:spacing w:before="60" w:line="208"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只</w:t>
            </w:r>
          </w:p>
        </w:tc>
        <w:tc>
          <w:tcPr>
            <w:tcW w:w="1353" w:type="dxa"/>
            <w:shd w:val="clear" w:color="auto" w:fill="auto"/>
          </w:tcPr>
          <w:p>
            <w:pPr>
              <w:spacing w:before="136" w:line="163" w:lineRule="auto"/>
              <w:ind w:left="58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34" w:type="dxa"/>
            <w:vMerge w:val="continue"/>
            <w:tcBorders>
              <w:top w:val="nil"/>
              <w:bottom w:val="nil"/>
            </w:tcBorders>
            <w:shd w:val="clear" w:color="auto" w:fill="auto"/>
          </w:tcPr>
          <w:p>
            <w:pPr>
              <w:rPr>
                <w:rFonts w:ascii="仿宋_GB2312" w:hAnsi="仿宋_GB2312" w:eastAsia="仿宋_GB2312" w:cs="仿宋_GB2312"/>
                <w:sz w:val="30"/>
                <w:szCs w:val="30"/>
              </w:rPr>
            </w:pPr>
          </w:p>
        </w:tc>
        <w:tc>
          <w:tcPr>
            <w:tcW w:w="1039" w:type="dxa"/>
            <w:shd w:val="clear" w:color="auto" w:fill="auto"/>
          </w:tcPr>
          <w:p>
            <w:pPr>
              <w:spacing w:before="138" w:line="261" w:lineRule="exact"/>
              <w:ind w:left="431"/>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7</w:t>
            </w:r>
          </w:p>
        </w:tc>
        <w:tc>
          <w:tcPr>
            <w:tcW w:w="3356" w:type="dxa"/>
            <w:shd w:val="clear" w:color="auto" w:fill="auto"/>
          </w:tcPr>
          <w:p>
            <w:pPr>
              <w:spacing w:before="56" w:line="204" w:lineRule="auto"/>
              <w:ind w:left="82"/>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医用降温毯</w:t>
            </w:r>
          </w:p>
        </w:tc>
        <w:tc>
          <w:tcPr>
            <w:tcW w:w="1278" w:type="dxa"/>
            <w:shd w:val="clear" w:color="auto" w:fill="auto"/>
          </w:tcPr>
          <w:p>
            <w:pPr>
              <w:spacing w:before="63" w:line="200"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合</w:t>
            </w:r>
          </w:p>
        </w:tc>
        <w:tc>
          <w:tcPr>
            <w:tcW w:w="1353" w:type="dxa"/>
            <w:shd w:val="clear" w:color="auto" w:fill="auto"/>
          </w:tcPr>
          <w:p>
            <w:pPr>
              <w:spacing w:before="136" w:line="263" w:lineRule="exact"/>
              <w:ind w:left="588"/>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034" w:type="dxa"/>
            <w:vMerge w:val="continue"/>
            <w:tcBorders>
              <w:top w:val="nil"/>
            </w:tcBorders>
            <w:shd w:val="clear" w:color="auto" w:fill="auto"/>
          </w:tcPr>
          <w:p>
            <w:pPr>
              <w:rPr>
                <w:rFonts w:ascii="仿宋_GB2312" w:hAnsi="仿宋_GB2312" w:eastAsia="仿宋_GB2312" w:cs="仿宋_GB2312"/>
                <w:sz w:val="30"/>
                <w:szCs w:val="30"/>
              </w:rPr>
            </w:pPr>
          </w:p>
        </w:tc>
        <w:tc>
          <w:tcPr>
            <w:tcW w:w="1039" w:type="dxa"/>
            <w:shd w:val="clear" w:color="auto" w:fill="auto"/>
          </w:tcPr>
          <w:p>
            <w:pPr>
              <w:spacing w:before="146" w:line="162" w:lineRule="auto"/>
              <w:ind w:left="431"/>
              <w:rPr>
                <w:rFonts w:ascii="仿宋_GB2312" w:hAnsi="仿宋_GB2312" w:eastAsia="仿宋_GB2312" w:cs="仿宋_GB2312"/>
                <w:sz w:val="30"/>
                <w:szCs w:val="30"/>
              </w:rPr>
            </w:pPr>
            <w:r>
              <w:rPr>
                <w:rFonts w:hint="eastAsia" w:ascii="仿宋_GB2312" w:hAnsi="仿宋_GB2312" w:eastAsia="仿宋_GB2312" w:cs="仿宋_GB2312"/>
                <w:sz w:val="30"/>
                <w:szCs w:val="30"/>
              </w:rPr>
              <w:t>8</w:t>
            </w:r>
          </w:p>
        </w:tc>
        <w:tc>
          <w:tcPr>
            <w:tcW w:w="3356" w:type="dxa"/>
            <w:shd w:val="clear" w:color="auto" w:fill="auto"/>
          </w:tcPr>
          <w:p>
            <w:pPr>
              <w:spacing w:before="89" w:line="196" w:lineRule="auto"/>
              <w:ind w:left="82"/>
              <w:rPr>
                <w:rFonts w:ascii="仿宋_GB2312" w:hAnsi="仿宋_GB2312" w:eastAsia="仿宋_GB2312" w:cs="仿宋_GB2312"/>
                <w:sz w:val="30"/>
                <w:szCs w:val="30"/>
              </w:rPr>
            </w:pPr>
            <w:r>
              <w:rPr>
                <w:rFonts w:hint="eastAsia" w:ascii="仿宋_GB2312" w:hAnsi="仿宋_GB2312" w:eastAsia="仿宋_GB2312" w:cs="仿宋_GB2312"/>
                <w:spacing w:val="4"/>
                <w:sz w:val="30"/>
                <w:szCs w:val="30"/>
              </w:rPr>
              <w:t>雾化器</w:t>
            </w:r>
          </w:p>
        </w:tc>
        <w:tc>
          <w:tcPr>
            <w:tcW w:w="1278" w:type="dxa"/>
            <w:shd w:val="clear" w:color="auto" w:fill="auto"/>
          </w:tcPr>
          <w:p>
            <w:pPr>
              <w:spacing w:before="68" w:line="209"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353" w:type="dxa"/>
            <w:shd w:val="clear" w:color="auto" w:fill="auto"/>
          </w:tcPr>
          <w:p>
            <w:pPr>
              <w:spacing w:before="146" w:line="162" w:lineRule="auto"/>
              <w:ind w:left="588"/>
              <w:rPr>
                <w:rFonts w:ascii="仿宋_GB2312" w:hAnsi="仿宋_GB2312" w:eastAsia="仿宋_GB2312" w:cs="仿宋_GB2312"/>
                <w:sz w:val="30"/>
                <w:szCs w:val="30"/>
              </w:rPr>
            </w:pPr>
            <w:r>
              <w:rPr>
                <w:rFonts w:hint="eastAsia" w:ascii="仿宋_GB2312" w:hAnsi="仿宋_GB2312" w:eastAsia="仿宋_GB2312" w:cs="仿宋_GB2312"/>
                <w:sz w:val="30"/>
                <w:szCs w:val="3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34" w:type="dxa"/>
            <w:vMerge w:val="restart"/>
            <w:tcBorders>
              <w:bottom w:val="nil"/>
            </w:tcBorders>
            <w:shd w:val="clear" w:color="auto" w:fill="auto"/>
          </w:tcPr>
          <w:p>
            <w:pPr>
              <w:spacing w:before="74" w:line="227" w:lineRule="auto"/>
              <w:ind w:left="199" w:right="198"/>
              <w:jc w:val="center"/>
              <w:rPr>
                <w:rFonts w:ascii="仿宋_GB2312" w:hAnsi="仿宋_GB2312" w:eastAsia="仿宋_GB2312" w:cs="仿宋_GB2312"/>
                <w:sz w:val="30"/>
                <w:szCs w:val="30"/>
              </w:rPr>
            </w:pPr>
            <w:r>
              <w:rPr>
                <w:rFonts w:hint="eastAsia" w:ascii="仿宋_GB2312" w:hAnsi="仿宋_GB2312" w:eastAsia="仿宋_GB2312" w:cs="仿宋_GB2312"/>
                <w:b/>
                <w:bCs/>
                <w:spacing w:val="-2"/>
                <w:sz w:val="30"/>
                <w:szCs w:val="30"/>
              </w:rPr>
              <w:t>呼吸</w:t>
            </w:r>
            <w:r>
              <w:rPr>
                <w:rFonts w:hint="eastAsia" w:ascii="仿宋_GB2312" w:hAnsi="仿宋_GB2312" w:eastAsia="仿宋_GB2312" w:cs="仿宋_GB2312"/>
                <w:b/>
                <w:bCs/>
                <w:spacing w:val="-10"/>
                <w:sz w:val="30"/>
                <w:szCs w:val="30"/>
              </w:rPr>
              <w:t>支持</w:t>
            </w:r>
            <w:r>
              <w:rPr>
                <w:rFonts w:hint="eastAsia" w:ascii="仿宋_GB2312" w:hAnsi="仿宋_GB2312" w:eastAsia="仿宋_GB2312" w:cs="仿宋_GB2312"/>
                <w:b/>
                <w:bCs/>
                <w:spacing w:val="-1"/>
                <w:sz w:val="30"/>
                <w:szCs w:val="30"/>
              </w:rPr>
              <w:t>设备</w:t>
            </w:r>
          </w:p>
        </w:tc>
        <w:tc>
          <w:tcPr>
            <w:tcW w:w="1039" w:type="dxa"/>
            <w:shd w:val="clear" w:color="auto" w:fill="auto"/>
          </w:tcPr>
          <w:p>
            <w:pPr>
              <w:spacing w:before="138" w:line="161" w:lineRule="auto"/>
              <w:ind w:left="431"/>
              <w:rPr>
                <w:rFonts w:ascii="仿宋_GB2312" w:hAnsi="仿宋_GB2312" w:eastAsia="仿宋_GB2312" w:cs="仿宋_GB2312"/>
                <w:sz w:val="30"/>
                <w:szCs w:val="30"/>
              </w:rPr>
            </w:pPr>
            <w:r>
              <w:rPr>
                <w:rFonts w:hint="eastAsia" w:ascii="仿宋_GB2312" w:hAnsi="仿宋_GB2312" w:eastAsia="仿宋_GB2312" w:cs="仿宋_GB2312"/>
                <w:sz w:val="30"/>
                <w:szCs w:val="30"/>
              </w:rPr>
              <w:t>9</w:t>
            </w:r>
          </w:p>
        </w:tc>
        <w:tc>
          <w:tcPr>
            <w:tcW w:w="3356" w:type="dxa"/>
            <w:shd w:val="clear" w:color="auto" w:fill="auto"/>
          </w:tcPr>
          <w:p>
            <w:pPr>
              <w:spacing w:before="58" w:line="209" w:lineRule="auto"/>
              <w:ind w:left="82"/>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高流量湿化氧疗系统</w:t>
            </w:r>
          </w:p>
        </w:tc>
        <w:tc>
          <w:tcPr>
            <w:tcW w:w="1278" w:type="dxa"/>
            <w:shd w:val="clear" w:color="auto" w:fill="auto"/>
          </w:tcPr>
          <w:p>
            <w:pPr>
              <w:spacing w:before="59" w:line="208"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353" w:type="dxa"/>
            <w:shd w:val="clear" w:color="auto" w:fill="auto"/>
          </w:tcPr>
          <w:p>
            <w:pPr>
              <w:spacing w:before="138" w:line="161" w:lineRule="auto"/>
              <w:ind w:left="437"/>
              <w:rPr>
                <w:rFonts w:ascii="仿宋_GB2312" w:hAnsi="仿宋_GB2312" w:eastAsia="仿宋_GB2312" w:cs="仿宋_GB2312"/>
                <w:sz w:val="30"/>
                <w:szCs w:val="30"/>
              </w:rPr>
            </w:pPr>
            <w:r>
              <w:rPr>
                <w:rFonts w:hint="eastAsia" w:ascii="仿宋_GB2312" w:hAnsi="仿宋_GB2312" w:eastAsia="仿宋_GB2312" w:cs="仿宋_GB2312"/>
                <w:sz w:val="30"/>
                <w:szCs w:val="30"/>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1034" w:type="dxa"/>
            <w:vMerge w:val="continue"/>
            <w:tcBorders>
              <w:top w:val="nil"/>
            </w:tcBorders>
            <w:shd w:val="clear" w:color="auto" w:fill="auto"/>
          </w:tcPr>
          <w:p>
            <w:pPr>
              <w:rPr>
                <w:rFonts w:ascii="仿宋_GB2312" w:hAnsi="仿宋_GB2312" w:eastAsia="仿宋_GB2312" w:cs="仿宋_GB2312"/>
                <w:sz w:val="30"/>
                <w:szCs w:val="30"/>
              </w:rPr>
            </w:pPr>
          </w:p>
        </w:tc>
        <w:tc>
          <w:tcPr>
            <w:tcW w:w="1039" w:type="dxa"/>
            <w:shd w:val="clear" w:color="auto" w:fill="auto"/>
          </w:tcPr>
          <w:p>
            <w:pPr>
              <w:spacing w:before="338" w:line="184" w:lineRule="auto"/>
              <w:ind w:left="350"/>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10</w:t>
            </w:r>
          </w:p>
        </w:tc>
        <w:tc>
          <w:tcPr>
            <w:tcW w:w="3356" w:type="dxa"/>
            <w:shd w:val="clear" w:color="auto" w:fill="auto"/>
          </w:tcPr>
          <w:p>
            <w:pPr>
              <w:spacing w:before="257" w:line="219" w:lineRule="auto"/>
              <w:ind w:left="82"/>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无创呼吸机</w:t>
            </w:r>
          </w:p>
        </w:tc>
        <w:tc>
          <w:tcPr>
            <w:tcW w:w="1278" w:type="dxa"/>
            <w:shd w:val="clear" w:color="auto" w:fill="auto"/>
          </w:tcPr>
          <w:p>
            <w:pPr>
              <w:spacing w:before="265" w:line="223"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合</w:t>
            </w:r>
          </w:p>
        </w:tc>
        <w:tc>
          <w:tcPr>
            <w:tcW w:w="1353" w:type="dxa"/>
            <w:shd w:val="clear" w:color="auto" w:fill="auto"/>
          </w:tcPr>
          <w:p>
            <w:pPr>
              <w:spacing w:before="338" w:line="184" w:lineRule="auto"/>
              <w:ind w:left="58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34" w:type="dxa"/>
            <w:vMerge w:val="restart"/>
            <w:tcBorders>
              <w:bottom w:val="nil"/>
            </w:tcBorders>
            <w:shd w:val="clear" w:color="auto" w:fill="auto"/>
          </w:tcPr>
          <w:p>
            <w:pPr>
              <w:spacing w:before="76" w:line="221" w:lineRule="auto"/>
              <w:ind w:left="199" w:right="198"/>
              <w:rPr>
                <w:rFonts w:ascii="仿宋_GB2312" w:hAnsi="仿宋_GB2312" w:eastAsia="仿宋_GB2312" w:cs="仿宋_GB2312"/>
                <w:sz w:val="30"/>
                <w:szCs w:val="30"/>
              </w:rPr>
            </w:pPr>
            <w:r>
              <w:rPr>
                <w:rFonts w:hint="eastAsia" w:ascii="仿宋_GB2312" w:hAnsi="仿宋_GB2312" w:eastAsia="仿宋_GB2312" w:cs="仿宋_GB2312"/>
                <w:b/>
                <w:bCs/>
                <w:spacing w:val="-10"/>
                <w:sz w:val="30"/>
                <w:szCs w:val="30"/>
              </w:rPr>
              <w:t>抢救</w:t>
            </w:r>
            <w:r>
              <w:rPr>
                <w:rFonts w:hint="eastAsia" w:ascii="仿宋_GB2312" w:hAnsi="仿宋_GB2312" w:eastAsia="仿宋_GB2312" w:cs="仿宋_GB2312"/>
                <w:b/>
                <w:bCs/>
                <w:spacing w:val="-1"/>
                <w:sz w:val="30"/>
                <w:szCs w:val="30"/>
              </w:rPr>
              <w:t>设备</w:t>
            </w:r>
          </w:p>
        </w:tc>
        <w:tc>
          <w:tcPr>
            <w:tcW w:w="1039" w:type="dxa"/>
            <w:shd w:val="clear" w:color="auto" w:fill="auto"/>
          </w:tcPr>
          <w:p>
            <w:pPr>
              <w:spacing w:before="139" w:line="260" w:lineRule="exact"/>
              <w:ind w:left="350"/>
              <w:rPr>
                <w:rFonts w:ascii="仿宋_GB2312" w:hAnsi="仿宋_GB2312" w:eastAsia="仿宋_GB2312" w:cs="仿宋_GB2312"/>
                <w:sz w:val="30"/>
                <w:szCs w:val="30"/>
              </w:rPr>
            </w:pPr>
            <w:r>
              <w:rPr>
                <w:rFonts w:hint="eastAsia" w:ascii="仿宋_GB2312" w:hAnsi="仿宋_GB2312" w:eastAsia="仿宋_GB2312" w:cs="仿宋_GB2312"/>
                <w:spacing w:val="-9"/>
                <w:position w:val="-3"/>
                <w:sz w:val="30"/>
                <w:szCs w:val="30"/>
              </w:rPr>
              <w:t>11</w:t>
            </w:r>
          </w:p>
        </w:tc>
        <w:tc>
          <w:tcPr>
            <w:tcW w:w="3356" w:type="dxa"/>
            <w:shd w:val="clear" w:color="auto" w:fill="auto"/>
          </w:tcPr>
          <w:p>
            <w:pPr>
              <w:spacing w:before="59" w:line="202" w:lineRule="auto"/>
              <w:ind w:left="82"/>
              <w:rPr>
                <w:rFonts w:ascii="仿宋_GB2312" w:hAnsi="仿宋_GB2312" w:eastAsia="仿宋_GB2312" w:cs="仿宋_GB2312"/>
                <w:sz w:val="30"/>
                <w:szCs w:val="30"/>
              </w:rPr>
            </w:pPr>
            <w:r>
              <w:rPr>
                <w:rFonts w:hint="eastAsia" w:ascii="仿宋_GB2312" w:hAnsi="仿宋_GB2312" w:eastAsia="仿宋_GB2312" w:cs="仿宋_GB2312"/>
                <w:spacing w:val="8"/>
                <w:sz w:val="30"/>
                <w:szCs w:val="30"/>
              </w:rPr>
              <w:t>急救推车(药柜)</w:t>
            </w:r>
          </w:p>
        </w:tc>
        <w:tc>
          <w:tcPr>
            <w:tcW w:w="1278" w:type="dxa"/>
            <w:shd w:val="clear" w:color="auto" w:fill="auto"/>
          </w:tcPr>
          <w:p>
            <w:pPr>
              <w:spacing w:before="51" w:line="207"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353" w:type="dxa"/>
            <w:shd w:val="clear" w:color="auto" w:fill="auto"/>
          </w:tcPr>
          <w:p>
            <w:pPr>
              <w:spacing w:before="139" w:line="260" w:lineRule="exact"/>
              <w:ind w:left="588"/>
              <w:rPr>
                <w:rFonts w:ascii="仿宋_GB2312" w:hAnsi="仿宋_GB2312" w:eastAsia="仿宋_GB2312" w:cs="仿宋_GB2312"/>
                <w:sz w:val="30"/>
                <w:szCs w:val="30"/>
              </w:rPr>
            </w:pPr>
            <w:r>
              <w:rPr>
                <w:rFonts w:hint="eastAsia" w:ascii="仿宋_GB2312" w:hAnsi="仿宋_GB2312" w:eastAsia="仿宋_GB2312" w:cs="仿宋_GB2312"/>
                <w:position w:val="-3"/>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34" w:type="dxa"/>
            <w:vMerge w:val="continue"/>
            <w:tcBorders>
              <w:top w:val="nil"/>
            </w:tcBorders>
            <w:shd w:val="clear" w:color="auto" w:fill="auto"/>
          </w:tcPr>
          <w:p>
            <w:pPr>
              <w:rPr>
                <w:rFonts w:ascii="仿宋_GB2312" w:hAnsi="仿宋_GB2312" w:eastAsia="仿宋_GB2312" w:cs="仿宋_GB2312"/>
                <w:sz w:val="30"/>
                <w:szCs w:val="30"/>
              </w:rPr>
            </w:pPr>
          </w:p>
        </w:tc>
        <w:tc>
          <w:tcPr>
            <w:tcW w:w="1039" w:type="dxa"/>
            <w:shd w:val="clear" w:color="auto" w:fill="auto"/>
          </w:tcPr>
          <w:p>
            <w:pPr>
              <w:spacing w:before="141" w:line="160" w:lineRule="auto"/>
              <w:ind w:left="350"/>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12</w:t>
            </w:r>
          </w:p>
        </w:tc>
        <w:tc>
          <w:tcPr>
            <w:tcW w:w="3356" w:type="dxa"/>
            <w:shd w:val="clear" w:color="auto" w:fill="auto"/>
          </w:tcPr>
          <w:p>
            <w:pPr>
              <w:spacing w:before="60" w:line="208" w:lineRule="auto"/>
              <w:ind w:left="82"/>
              <w:rPr>
                <w:rFonts w:ascii="仿宋_GB2312" w:hAnsi="仿宋_GB2312" w:eastAsia="仿宋_GB2312" w:cs="仿宋_GB2312"/>
                <w:sz w:val="30"/>
                <w:szCs w:val="30"/>
              </w:rPr>
            </w:pPr>
            <w:r>
              <w:rPr>
                <w:rFonts w:hint="eastAsia" w:ascii="仿宋_GB2312" w:hAnsi="仿宋_GB2312" w:eastAsia="仿宋_GB2312" w:cs="仿宋_GB2312"/>
                <w:spacing w:val="2"/>
                <w:sz w:val="30"/>
                <w:szCs w:val="30"/>
              </w:rPr>
              <w:t>除颤监护仪</w:t>
            </w:r>
          </w:p>
        </w:tc>
        <w:tc>
          <w:tcPr>
            <w:tcW w:w="1278" w:type="dxa"/>
            <w:shd w:val="clear" w:color="auto" w:fill="auto"/>
          </w:tcPr>
          <w:p>
            <w:pPr>
              <w:spacing w:before="62" w:line="207"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353" w:type="dxa"/>
            <w:shd w:val="clear" w:color="auto" w:fill="auto"/>
          </w:tcPr>
          <w:p>
            <w:pPr>
              <w:spacing w:before="141" w:line="160" w:lineRule="auto"/>
              <w:ind w:left="58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34" w:type="dxa"/>
            <w:vMerge w:val="restart"/>
            <w:tcBorders>
              <w:bottom w:val="nil"/>
            </w:tcBorders>
            <w:shd w:val="clear" w:color="auto" w:fill="auto"/>
          </w:tcPr>
          <w:p>
            <w:pPr>
              <w:spacing w:before="87" w:line="219" w:lineRule="auto"/>
              <w:ind w:left="199"/>
              <w:rPr>
                <w:rFonts w:ascii="仿宋_GB2312" w:hAnsi="仿宋_GB2312" w:eastAsia="仿宋_GB2312" w:cs="仿宋_GB2312"/>
                <w:sz w:val="30"/>
                <w:szCs w:val="30"/>
              </w:rPr>
            </w:pPr>
            <w:r>
              <w:rPr>
                <w:rFonts w:hint="eastAsia" w:ascii="仿宋_GB2312" w:hAnsi="仿宋_GB2312" w:eastAsia="仿宋_GB2312" w:cs="仿宋_GB2312"/>
                <w:b/>
                <w:bCs/>
                <w:sz w:val="30"/>
                <w:szCs w:val="30"/>
              </w:rPr>
              <w:t>消毒</w:t>
            </w:r>
          </w:p>
          <w:p>
            <w:pPr>
              <w:spacing w:before="37" w:line="197" w:lineRule="auto"/>
              <w:ind w:left="195"/>
              <w:rPr>
                <w:rFonts w:ascii="仿宋_GB2312" w:hAnsi="仿宋_GB2312" w:eastAsia="仿宋_GB2312" w:cs="仿宋_GB2312"/>
                <w:sz w:val="30"/>
                <w:szCs w:val="30"/>
              </w:rPr>
            </w:pPr>
            <w:r>
              <w:rPr>
                <w:rFonts w:hint="eastAsia" w:ascii="仿宋_GB2312" w:hAnsi="仿宋_GB2312" w:eastAsia="仿宋_GB2312" w:cs="仿宋_GB2312"/>
                <w:b/>
                <w:bCs/>
                <w:spacing w:val="7"/>
                <w:sz w:val="30"/>
                <w:szCs w:val="30"/>
              </w:rPr>
              <w:t>设备</w:t>
            </w:r>
          </w:p>
        </w:tc>
        <w:tc>
          <w:tcPr>
            <w:tcW w:w="1039" w:type="dxa"/>
            <w:shd w:val="clear" w:color="auto" w:fill="auto"/>
          </w:tcPr>
          <w:p>
            <w:pPr>
              <w:spacing w:before="140" w:line="160" w:lineRule="auto"/>
              <w:ind w:left="350"/>
              <w:rPr>
                <w:rFonts w:ascii="仿宋_GB2312" w:hAnsi="仿宋_GB2312" w:eastAsia="仿宋_GB2312" w:cs="仿宋_GB2312"/>
                <w:sz w:val="30"/>
                <w:szCs w:val="30"/>
              </w:rPr>
            </w:pPr>
            <w:r>
              <w:rPr>
                <w:rFonts w:hint="eastAsia" w:ascii="仿宋_GB2312" w:hAnsi="仿宋_GB2312" w:eastAsia="仿宋_GB2312" w:cs="仿宋_GB2312"/>
                <w:spacing w:val="-9"/>
                <w:sz w:val="30"/>
                <w:szCs w:val="30"/>
              </w:rPr>
              <w:t>13</w:t>
            </w:r>
          </w:p>
        </w:tc>
        <w:tc>
          <w:tcPr>
            <w:tcW w:w="3356" w:type="dxa"/>
            <w:shd w:val="clear" w:color="auto" w:fill="auto"/>
          </w:tcPr>
          <w:p>
            <w:pPr>
              <w:spacing w:before="61" w:line="207" w:lineRule="auto"/>
              <w:ind w:left="82"/>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全自动清洗消毒器</w:t>
            </w:r>
          </w:p>
        </w:tc>
        <w:tc>
          <w:tcPr>
            <w:tcW w:w="1278" w:type="dxa"/>
            <w:shd w:val="clear" w:color="auto" w:fill="auto"/>
          </w:tcPr>
          <w:p>
            <w:pPr>
              <w:spacing w:before="63" w:line="206"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套</w:t>
            </w:r>
          </w:p>
        </w:tc>
        <w:tc>
          <w:tcPr>
            <w:tcW w:w="1353" w:type="dxa"/>
            <w:shd w:val="clear" w:color="auto" w:fill="auto"/>
          </w:tcPr>
          <w:p>
            <w:pPr>
              <w:spacing w:before="140" w:line="160" w:lineRule="auto"/>
              <w:ind w:left="588"/>
              <w:rPr>
                <w:rFonts w:ascii="仿宋_GB2312" w:hAnsi="仿宋_GB2312" w:eastAsia="仿宋_GB2312" w:cs="仿宋_GB2312"/>
                <w:sz w:val="30"/>
                <w:szCs w:val="30"/>
              </w:rPr>
            </w:pPr>
            <w:r>
              <w:rPr>
                <w:rFonts w:hint="eastAsia" w:ascii="仿宋_GB2312" w:hAnsi="仿宋_GB2312" w:eastAsia="仿宋_GB2312" w:cs="仿宋_GB2312"/>
                <w:sz w:val="30"/>
                <w:szCs w:val="3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034" w:type="dxa"/>
            <w:vMerge w:val="continue"/>
            <w:tcBorders>
              <w:top w:val="nil"/>
            </w:tcBorders>
            <w:shd w:val="clear" w:color="auto" w:fill="auto"/>
          </w:tcPr>
          <w:p>
            <w:pPr>
              <w:rPr>
                <w:rFonts w:ascii="仿宋_GB2312" w:hAnsi="仿宋_GB2312" w:eastAsia="仿宋_GB2312" w:cs="仿宋_GB2312"/>
                <w:sz w:val="30"/>
                <w:szCs w:val="30"/>
              </w:rPr>
            </w:pPr>
          </w:p>
        </w:tc>
        <w:tc>
          <w:tcPr>
            <w:tcW w:w="1039" w:type="dxa"/>
            <w:shd w:val="clear" w:color="auto" w:fill="auto"/>
          </w:tcPr>
          <w:p>
            <w:pPr>
              <w:spacing w:before="181" w:line="223" w:lineRule="exact"/>
              <w:ind w:left="350"/>
              <w:rPr>
                <w:rFonts w:ascii="仿宋_GB2312" w:hAnsi="仿宋_GB2312" w:eastAsia="仿宋_GB2312" w:cs="仿宋_GB2312"/>
                <w:sz w:val="30"/>
                <w:szCs w:val="30"/>
              </w:rPr>
            </w:pPr>
            <w:r>
              <w:rPr>
                <w:rFonts w:hint="eastAsia" w:ascii="仿宋_GB2312" w:hAnsi="仿宋_GB2312" w:eastAsia="仿宋_GB2312" w:cs="仿宋_GB2312"/>
                <w:spacing w:val="-9"/>
                <w:position w:val="-4"/>
                <w:sz w:val="30"/>
                <w:szCs w:val="30"/>
              </w:rPr>
              <w:t>14</w:t>
            </w:r>
          </w:p>
        </w:tc>
        <w:tc>
          <w:tcPr>
            <w:tcW w:w="3356" w:type="dxa"/>
            <w:shd w:val="clear" w:color="auto" w:fill="auto"/>
          </w:tcPr>
          <w:p>
            <w:pPr>
              <w:spacing w:before="60" w:line="205" w:lineRule="auto"/>
              <w:ind w:left="82"/>
              <w:rPr>
                <w:rFonts w:ascii="仿宋_GB2312" w:hAnsi="仿宋_GB2312" w:eastAsia="仿宋_GB2312" w:cs="仿宋_GB2312"/>
                <w:sz w:val="30"/>
                <w:szCs w:val="30"/>
              </w:rPr>
            </w:pPr>
            <w:r>
              <w:rPr>
                <w:rFonts w:hint="eastAsia" w:ascii="仿宋_GB2312" w:hAnsi="仿宋_GB2312" w:eastAsia="仿宋_GB2312" w:cs="仿宋_GB2312"/>
                <w:spacing w:val="1"/>
                <w:sz w:val="30"/>
                <w:szCs w:val="30"/>
              </w:rPr>
              <w:t>过氧化氢消毒机</w:t>
            </w:r>
          </w:p>
        </w:tc>
        <w:tc>
          <w:tcPr>
            <w:tcW w:w="1278" w:type="dxa"/>
            <w:shd w:val="clear" w:color="auto" w:fill="auto"/>
          </w:tcPr>
          <w:p>
            <w:pPr>
              <w:spacing w:before="79" w:line="194" w:lineRule="auto"/>
              <w:ind w:left="476"/>
              <w:rPr>
                <w:rFonts w:ascii="仿宋_GB2312" w:hAnsi="仿宋_GB2312" w:eastAsia="仿宋_GB2312" w:cs="仿宋_GB2312"/>
                <w:sz w:val="30"/>
                <w:szCs w:val="30"/>
              </w:rPr>
            </w:pPr>
            <w:r>
              <w:rPr>
                <w:rFonts w:hint="eastAsia" w:ascii="仿宋_GB2312" w:hAnsi="仿宋_GB2312" w:eastAsia="仿宋_GB2312" w:cs="仿宋_GB2312"/>
                <w:sz w:val="30"/>
                <w:szCs w:val="30"/>
              </w:rPr>
              <w:t>合</w:t>
            </w:r>
          </w:p>
        </w:tc>
        <w:tc>
          <w:tcPr>
            <w:tcW w:w="1353" w:type="dxa"/>
            <w:shd w:val="clear" w:color="auto" w:fill="auto"/>
          </w:tcPr>
          <w:p>
            <w:pPr>
              <w:spacing w:before="171" w:line="233" w:lineRule="exact"/>
              <w:ind w:left="588"/>
              <w:rPr>
                <w:rFonts w:ascii="仿宋_GB2312" w:hAnsi="仿宋_GB2312" w:eastAsia="仿宋_GB2312" w:cs="仿宋_GB2312"/>
                <w:sz w:val="30"/>
                <w:szCs w:val="30"/>
              </w:rPr>
            </w:pPr>
            <w:r>
              <w:rPr>
                <w:rFonts w:hint="eastAsia" w:ascii="仿宋_GB2312" w:hAnsi="仿宋_GB2312" w:eastAsia="仿宋_GB2312" w:cs="仿宋_GB2312"/>
                <w:position w:val="-4"/>
                <w:sz w:val="30"/>
                <w:szCs w:val="30"/>
              </w:rPr>
              <w:t>1</w:t>
            </w:r>
          </w:p>
        </w:tc>
      </w:tr>
    </w:tbl>
    <w:p>
      <w:pPr>
        <w:spacing w:before="101" w:line="560" w:lineRule="exact"/>
        <w:rPr>
          <w:rFonts w:ascii="方正黑体_GBK" w:hAnsi="方正黑体_GBK" w:eastAsia="方正黑体_GBK" w:cs="方正黑体_GBK"/>
          <w:spacing w:val="-1"/>
          <w:sz w:val="32"/>
          <w:szCs w:val="32"/>
        </w:rPr>
      </w:pPr>
      <w:r>
        <w:rPr>
          <w:rFonts w:ascii="方正黑体_GBK" w:hAnsi="方正黑体_GBK" w:eastAsia="方正黑体_GBK" w:cs="方正黑体_GBK"/>
          <w:spacing w:val="-1"/>
          <w:sz w:val="32"/>
          <w:szCs w:val="32"/>
        </w:rPr>
        <w:br w:type="page"/>
      </w:r>
    </w:p>
    <w:p>
      <w:pPr>
        <w:spacing w:before="101" w:line="560" w:lineRule="exact"/>
        <w:rPr>
          <w:rFonts w:ascii="方正黑体_GBK" w:hAnsi="方正黑体_GBK" w:eastAsia="方正黑体_GBK" w:cs="方正黑体_GBK"/>
          <w:spacing w:val="-1"/>
          <w:sz w:val="32"/>
          <w:szCs w:val="32"/>
        </w:rPr>
      </w:pPr>
    </w:p>
    <w:p>
      <w:pPr>
        <w:spacing w:before="101" w:line="560" w:lineRule="exact"/>
        <w:rPr>
          <w:rFonts w:ascii="方正黑体_GBK" w:hAnsi="方正黑体_GBK" w:eastAsia="方正黑体_GBK" w:cs="方正黑体_GBK"/>
          <w:spacing w:val="-1"/>
          <w:sz w:val="32"/>
          <w:szCs w:val="32"/>
        </w:rPr>
      </w:pPr>
      <w:r>
        <w:rPr>
          <w:rFonts w:hint="eastAsia" w:ascii="方正黑体_GBK" w:hAnsi="方正黑体_GBK" w:eastAsia="方正黑体_GBK" w:cs="方正黑体_GBK"/>
          <w:spacing w:val="-1"/>
          <w:sz w:val="32"/>
          <w:szCs w:val="32"/>
        </w:rPr>
        <w:t>附件7</w:t>
      </w:r>
    </w:p>
    <w:p>
      <w:pPr>
        <w:spacing w:before="258" w:line="560" w:lineRule="exact"/>
        <w:jc w:val="center"/>
        <w:rPr>
          <w:rFonts w:ascii="方正小标宋_GBK" w:hAnsi="方正小标宋_GBK" w:eastAsia="方正小标宋_GBK" w:cs="方正小标宋_GBK"/>
          <w:spacing w:val="-6"/>
          <w:sz w:val="36"/>
          <w:szCs w:val="44"/>
        </w:rPr>
      </w:pPr>
      <w:r>
        <w:rPr>
          <w:rFonts w:hint="eastAsia" w:ascii="方正小标宋_GBK" w:hAnsi="方正小标宋_GBK" w:eastAsia="方正小标宋_GBK" w:cs="方正小标宋_GBK"/>
          <w:spacing w:val="-6"/>
          <w:sz w:val="36"/>
          <w:szCs w:val="44"/>
        </w:rPr>
        <w:t>各市需要配置亚定点医院数量汇总表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1605"/>
        <w:gridCol w:w="1945"/>
        <w:gridCol w:w="2210"/>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53" w:type="dxa"/>
            <w:shd w:val="clear" w:color="auto" w:fill="auto"/>
            <w:vAlign w:val="center"/>
          </w:tcPr>
          <w:p>
            <w:pPr>
              <w:jc w:val="center"/>
              <w:rPr>
                <w:rFonts w:ascii="方正黑体_GBK" w:eastAsia="方正黑体_GBK"/>
                <w:sz w:val="28"/>
              </w:rPr>
            </w:pPr>
            <w:r>
              <w:rPr>
                <w:rFonts w:hint="eastAsia" w:ascii="方正黑体_GBK" w:eastAsia="方正黑体_GBK"/>
                <w:sz w:val="28"/>
              </w:rPr>
              <w:t>序号</w:t>
            </w:r>
          </w:p>
        </w:tc>
        <w:tc>
          <w:tcPr>
            <w:tcW w:w="1605" w:type="dxa"/>
            <w:shd w:val="clear" w:color="auto" w:fill="auto"/>
            <w:vAlign w:val="center"/>
          </w:tcPr>
          <w:p>
            <w:pPr>
              <w:jc w:val="center"/>
              <w:rPr>
                <w:rFonts w:ascii="方正黑体_GBK" w:eastAsia="方正黑体_GBK"/>
                <w:sz w:val="28"/>
              </w:rPr>
            </w:pPr>
            <w:r>
              <w:rPr>
                <w:rFonts w:hint="eastAsia" w:ascii="方正黑体_GBK" w:eastAsia="方正黑体_GBK"/>
                <w:sz w:val="28"/>
              </w:rPr>
              <w:t>市</w:t>
            </w:r>
          </w:p>
        </w:tc>
        <w:tc>
          <w:tcPr>
            <w:tcW w:w="1945" w:type="dxa"/>
            <w:shd w:val="clear" w:color="auto" w:fill="auto"/>
            <w:vAlign w:val="center"/>
          </w:tcPr>
          <w:p>
            <w:pPr>
              <w:jc w:val="center"/>
              <w:rPr>
                <w:rFonts w:ascii="方正黑体_GBK" w:eastAsia="方正黑体_GBK"/>
                <w:sz w:val="28"/>
              </w:rPr>
            </w:pPr>
            <w:r>
              <w:rPr>
                <w:rFonts w:hint="eastAsia" w:ascii="方正黑体_GBK" w:eastAsia="方正黑体_GBK"/>
                <w:sz w:val="28"/>
              </w:rPr>
              <w:t>人口总数(人）</w:t>
            </w:r>
          </w:p>
        </w:tc>
        <w:tc>
          <w:tcPr>
            <w:tcW w:w="2210" w:type="dxa"/>
            <w:shd w:val="clear" w:color="auto" w:fill="auto"/>
            <w:vAlign w:val="center"/>
          </w:tcPr>
          <w:p>
            <w:pPr>
              <w:jc w:val="center"/>
              <w:rPr>
                <w:rFonts w:ascii="方正黑体_GBK" w:eastAsia="方正黑体_GBK"/>
                <w:sz w:val="28"/>
              </w:rPr>
            </w:pPr>
            <w:r>
              <w:rPr>
                <w:rFonts w:hint="eastAsia" w:ascii="方正黑体_GBK" w:eastAsia="方正黑体_GBK"/>
                <w:sz w:val="28"/>
              </w:rPr>
              <w:t>人口范围(人)</w:t>
            </w:r>
          </w:p>
        </w:tc>
        <w:tc>
          <w:tcPr>
            <w:tcW w:w="2211" w:type="dxa"/>
            <w:shd w:val="clear" w:color="auto" w:fill="auto"/>
            <w:vAlign w:val="center"/>
          </w:tcPr>
          <w:p>
            <w:pPr>
              <w:jc w:val="center"/>
              <w:rPr>
                <w:rFonts w:ascii="方正黑体_GBK" w:eastAsia="方正黑体_GBK"/>
                <w:sz w:val="28"/>
              </w:rPr>
            </w:pPr>
            <w:r>
              <w:rPr>
                <w:rFonts w:hint="eastAsia" w:ascii="方正黑体_GBK" w:eastAsia="方正黑体_GBK"/>
                <w:sz w:val="28"/>
              </w:rPr>
              <w:t>亚定点医院应设床位(张)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1</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3"/>
                <w:sz w:val="28"/>
                <w:szCs w:val="28"/>
              </w:rPr>
              <w:t>阜阳市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9017730</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2</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3"/>
                <w:sz w:val="28"/>
                <w:szCs w:val="28"/>
              </w:rPr>
              <w:t>合肥市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8060427</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3</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3"/>
                <w:sz w:val="28"/>
                <w:szCs w:val="28"/>
              </w:rPr>
              <w:t>毫州市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6142325</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4</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3"/>
                <w:sz w:val="28"/>
                <w:szCs w:val="28"/>
              </w:rPr>
              <w:t>宿州市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5929752</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5</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3"/>
                <w:sz w:val="28"/>
                <w:szCs w:val="28"/>
              </w:rPr>
              <w:t>六安市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4773250</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6</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3"/>
                <w:sz w:val="28"/>
                <w:szCs w:val="28"/>
              </w:rPr>
              <w:t>安庆市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4379165</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7</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滁州市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4001648</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8</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3"/>
                <w:sz w:val="28"/>
                <w:szCs w:val="28"/>
              </w:rPr>
              <w:t>芜湖市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3288000</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9</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3"/>
                <w:sz w:val="28"/>
                <w:szCs w:val="28"/>
              </w:rPr>
              <w:t>蚌埠市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3165351</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10</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淮南市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3022779</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11</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3"/>
                <w:sz w:val="28"/>
                <w:szCs w:val="28"/>
              </w:rPr>
              <w:t>宣城市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2663833</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12</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马鞍山市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2304000</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13</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淮北市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3"/>
                <w:sz w:val="28"/>
                <w:szCs w:val="28"/>
              </w:rPr>
              <w:t>1970028</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14</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池州市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3"/>
                <w:sz w:val="28"/>
                <w:szCs w:val="28"/>
              </w:rPr>
              <w:t>1438300</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15</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黄山市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3"/>
                <w:sz w:val="28"/>
                <w:szCs w:val="28"/>
              </w:rPr>
              <w:t>1338273</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dxa"/>
            <w:shd w:val="clear" w:color="auto" w:fill="auto"/>
            <w:vAlign w:val="center"/>
          </w:tcPr>
          <w:p>
            <w:pPr>
              <w:jc w:val="center"/>
              <w:rPr>
                <w:rFonts w:ascii="仿宋_GB2312" w:eastAsia="仿宋_GB2312"/>
                <w:sz w:val="28"/>
                <w:szCs w:val="28"/>
              </w:rPr>
            </w:pPr>
            <w:r>
              <w:rPr>
                <w:rFonts w:hint="eastAsia" w:ascii="仿宋_GB2312" w:eastAsia="仿宋_GB2312"/>
                <w:sz w:val="28"/>
                <w:szCs w:val="28"/>
              </w:rPr>
              <w:t>16</w:t>
            </w:r>
          </w:p>
        </w:tc>
        <w:tc>
          <w:tcPr>
            <w:tcW w:w="1605" w:type="dxa"/>
            <w:shd w:val="clear" w:color="auto" w:fill="auto"/>
            <w:vAlign w:val="center"/>
          </w:tcPr>
          <w:p>
            <w:pPr>
              <w:jc w:val="center"/>
              <w:rPr>
                <w:rFonts w:ascii="仿宋_GB2312" w:eastAsia="仿宋_GB2312"/>
                <w:sz w:val="28"/>
                <w:szCs w:val="28"/>
              </w:rPr>
            </w:pPr>
            <w:r>
              <w:rPr>
                <w:rFonts w:hint="eastAsia" w:ascii="仿宋_GB2312" w:eastAsia="仿宋_GB2312"/>
                <w:spacing w:val="-2"/>
                <w:sz w:val="28"/>
                <w:szCs w:val="28"/>
              </w:rPr>
              <w:t>铜陵市</w:t>
            </w:r>
          </w:p>
        </w:tc>
        <w:tc>
          <w:tcPr>
            <w:tcW w:w="1945" w:type="dxa"/>
            <w:shd w:val="clear" w:color="auto" w:fill="auto"/>
            <w:vAlign w:val="center"/>
          </w:tcPr>
          <w:p>
            <w:pPr>
              <w:jc w:val="center"/>
              <w:rPr>
                <w:rFonts w:ascii="仿宋_GB2312" w:eastAsia="仿宋_GB2312"/>
                <w:sz w:val="28"/>
                <w:szCs w:val="28"/>
              </w:rPr>
            </w:pPr>
            <w:r>
              <w:rPr>
                <w:rFonts w:hint="eastAsia" w:ascii="仿宋_GB2312" w:eastAsia="仿宋_GB2312"/>
                <w:spacing w:val="-3"/>
                <w:sz w:val="28"/>
                <w:szCs w:val="28"/>
              </w:rPr>
              <w:t>1312284</w:t>
            </w:r>
          </w:p>
        </w:tc>
        <w:tc>
          <w:tcPr>
            <w:tcW w:w="2210"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100-1000万</w:t>
            </w:r>
          </w:p>
        </w:tc>
        <w:tc>
          <w:tcPr>
            <w:tcW w:w="2211" w:type="dxa"/>
            <w:shd w:val="clear" w:color="auto" w:fill="auto"/>
            <w:vAlign w:val="center"/>
          </w:tcPr>
          <w:p>
            <w:pPr>
              <w:jc w:val="center"/>
              <w:rPr>
                <w:rFonts w:ascii="仿宋_GB2312" w:eastAsia="仿宋_GB2312"/>
                <w:sz w:val="28"/>
                <w:szCs w:val="28"/>
              </w:rPr>
            </w:pPr>
            <w:r>
              <w:rPr>
                <w:rFonts w:hint="eastAsia" w:ascii="仿宋_GB2312" w:eastAsia="仿宋_GB2312"/>
                <w:spacing w:val="-1"/>
                <w:sz w:val="28"/>
                <w:szCs w:val="28"/>
              </w:rPr>
              <w:t>5000-10000</w:t>
            </w:r>
          </w:p>
        </w:tc>
      </w:tr>
    </w:tbl>
    <w:p>
      <w:pPr>
        <w:overflowPunct w:val="0"/>
        <w:topLinePunct/>
        <w:spacing w:line="560" w:lineRule="exact"/>
      </w:pPr>
      <w:r>
        <w:br w:type="page"/>
      </w:r>
    </w:p>
    <w:p>
      <w:pPr>
        <w:overflowPunct w:val="0"/>
        <w:topLinePunct/>
        <w:spacing w:line="560" w:lineRule="exact"/>
        <w:jc w:val="center"/>
        <w:rPr>
          <w:rFonts w:ascii="方正小标宋简体" w:hAnsi="方正小标宋简体" w:eastAsia="方正小标宋简体" w:cs="方正小标宋简体"/>
          <w:spacing w:val="-13"/>
          <w:sz w:val="44"/>
          <w:szCs w:val="44"/>
        </w:rPr>
      </w:pPr>
    </w:p>
    <w:p>
      <w:pPr>
        <w:overflowPunct w:val="0"/>
        <w:topLinePunct/>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pacing w:val="-13"/>
          <w:sz w:val="44"/>
          <w:szCs w:val="44"/>
        </w:rPr>
        <w:t>优化就医流程</w:t>
      </w:r>
      <w:r>
        <w:rPr>
          <w:rFonts w:ascii="方正小标宋简体" w:hAnsi="方正小标宋简体" w:eastAsia="方正小标宋简体" w:cs="方正小标宋简体"/>
          <w:spacing w:val="-11"/>
          <w:sz w:val="44"/>
          <w:szCs w:val="44"/>
        </w:rPr>
        <w:t>做好当前医疗服务工</w:t>
      </w:r>
      <w:r>
        <w:rPr>
          <w:rFonts w:hint="eastAsia" w:ascii="方正小标宋简体" w:hAnsi="方正小标宋简体" w:eastAsia="方正小标宋简体" w:cs="方正小标宋简体"/>
          <w:spacing w:val="-11"/>
          <w:sz w:val="44"/>
          <w:szCs w:val="44"/>
        </w:rPr>
        <w:t>作要求</w:t>
      </w:r>
    </w:p>
    <w:p>
      <w:pPr>
        <w:overflowPunct w:val="0"/>
        <w:topLinePunct/>
        <w:spacing w:line="560" w:lineRule="exact"/>
      </w:pPr>
    </w:p>
    <w:p>
      <w:pPr>
        <w:overflowPunct w:val="0"/>
        <w:topLinePunct/>
        <w:spacing w:line="560" w:lineRule="exact"/>
        <w:ind w:firstLine="604" w:firstLineChars="200"/>
        <w:rPr>
          <w:rFonts w:eastAsia="仿宋_GB2312"/>
          <w:sz w:val="32"/>
          <w:szCs w:val="32"/>
        </w:rPr>
      </w:pPr>
      <w:r>
        <w:rPr>
          <w:rFonts w:eastAsia="仿宋_GB2312"/>
          <w:spacing w:val="-9"/>
          <w:sz w:val="32"/>
          <w:szCs w:val="32"/>
        </w:rPr>
        <w:t>为指导医疗机构进一步优化就医流程，做好当前医疗服务工作，满足人民群众就医需求，最大限度医院交叉感</w:t>
      </w:r>
      <w:r>
        <w:rPr>
          <w:rFonts w:eastAsia="仿宋_GB2312"/>
          <w:spacing w:val="-8"/>
          <w:sz w:val="32"/>
          <w:szCs w:val="32"/>
        </w:rPr>
        <w:t>染，保障患者和医务人员安全，根据《关于进一步优化就医流程做好当前医疗服务工作的通知》（联防联控机制综发〔2022〕114号）</w:t>
      </w:r>
      <w:r>
        <w:rPr>
          <w:rFonts w:eastAsia="仿宋_GB2312"/>
          <w:spacing w:val="-11"/>
          <w:sz w:val="32"/>
          <w:szCs w:val="32"/>
        </w:rPr>
        <w:t>提出以下要求。</w:t>
      </w:r>
    </w:p>
    <w:p>
      <w:pPr>
        <w:overflowPunct w:val="0"/>
        <w:topLinePunct/>
        <w:spacing w:line="560" w:lineRule="exact"/>
        <w:ind w:firstLine="620" w:firstLineChars="200"/>
        <w:outlineLvl w:val="0"/>
        <w:rPr>
          <w:rFonts w:ascii="方正黑体_GBK" w:eastAsia="方正黑体_GBK"/>
          <w:sz w:val="32"/>
          <w:szCs w:val="32"/>
        </w:rPr>
      </w:pPr>
      <w:r>
        <w:rPr>
          <w:rFonts w:hint="eastAsia" w:ascii="方正黑体_GBK" w:eastAsia="方正黑体_GBK"/>
          <w:spacing w:val="-5"/>
          <w:sz w:val="32"/>
          <w:szCs w:val="32"/>
        </w:rPr>
        <w:t>一、基本原则</w:t>
      </w:r>
    </w:p>
    <w:p>
      <w:pPr>
        <w:overflowPunct w:val="0"/>
        <w:topLinePunct/>
        <w:spacing w:line="560" w:lineRule="exact"/>
        <w:ind w:firstLine="608" w:firstLineChars="200"/>
        <w:rPr>
          <w:rFonts w:eastAsia="仿宋_GB2312"/>
          <w:sz w:val="32"/>
          <w:szCs w:val="32"/>
        </w:rPr>
      </w:pPr>
      <w:r>
        <w:rPr>
          <w:rFonts w:eastAsia="仿宋_GB2312"/>
          <w:spacing w:val="-8"/>
          <w:sz w:val="32"/>
          <w:szCs w:val="32"/>
        </w:rPr>
        <w:t>根据党中央进一步优化疫情防控工作措施，相应调整医</w:t>
      </w:r>
      <w:r>
        <w:rPr>
          <w:rFonts w:eastAsia="仿宋_GB2312"/>
          <w:spacing w:val="-9"/>
          <w:sz w:val="32"/>
          <w:szCs w:val="32"/>
        </w:rPr>
        <w:t>疗机构诊疗流程，优化检测要求和医疗机构诊疗区域布局，</w:t>
      </w:r>
      <w:r>
        <w:rPr>
          <w:rFonts w:eastAsia="仿宋_GB2312"/>
          <w:spacing w:val="-8"/>
          <w:sz w:val="32"/>
          <w:szCs w:val="32"/>
        </w:rPr>
        <w:t>最大限度提高医疗资源可用程度，最大程度保障就医秩序安</w:t>
      </w:r>
      <w:r>
        <w:rPr>
          <w:rFonts w:eastAsia="仿宋_GB2312"/>
          <w:spacing w:val="-16"/>
          <w:sz w:val="32"/>
          <w:szCs w:val="32"/>
        </w:rPr>
        <w:t>全有序。</w:t>
      </w:r>
    </w:p>
    <w:p>
      <w:pPr>
        <w:overflowPunct w:val="0"/>
        <w:topLinePunct/>
        <w:spacing w:line="560" w:lineRule="exact"/>
        <w:ind w:firstLine="620" w:firstLineChars="200"/>
        <w:outlineLvl w:val="0"/>
        <w:rPr>
          <w:rFonts w:ascii="方正黑体_GBK" w:eastAsia="方正黑体_GBK"/>
          <w:spacing w:val="-5"/>
          <w:sz w:val="32"/>
          <w:szCs w:val="32"/>
        </w:rPr>
      </w:pPr>
      <w:r>
        <w:rPr>
          <w:rFonts w:ascii="方正黑体_GBK" w:eastAsia="方正黑体_GBK"/>
          <w:spacing w:val="-5"/>
          <w:sz w:val="32"/>
          <w:szCs w:val="32"/>
        </w:rPr>
        <w:t>二、优化门急诊和发热门诊就医流程</w:t>
      </w:r>
    </w:p>
    <w:p>
      <w:pPr>
        <w:numPr>
          <w:ilvl w:val="255"/>
          <w:numId w:val="0"/>
        </w:numPr>
        <w:spacing w:line="560" w:lineRule="exact"/>
        <w:ind w:firstLine="604" w:firstLineChars="200"/>
        <w:rPr>
          <w:rFonts w:eastAsia="仿宋_GB2312"/>
          <w:spacing w:val="-9"/>
          <w:sz w:val="32"/>
          <w:szCs w:val="32"/>
        </w:rPr>
      </w:pPr>
      <w:r>
        <w:rPr>
          <w:rFonts w:eastAsia="仿宋_GB2312"/>
          <w:spacing w:val="-9"/>
          <w:sz w:val="32"/>
          <w:szCs w:val="32"/>
        </w:rPr>
        <w:t>1.继续做好门急诊预检分诊工作。医疗机构应</w:t>
      </w:r>
      <w:r>
        <w:rPr>
          <w:rFonts w:eastAsia="仿宋_GB2312"/>
          <w:spacing w:val="-8"/>
          <w:sz w:val="32"/>
          <w:szCs w:val="32"/>
        </w:rPr>
        <w:t>通过预约诊</w:t>
      </w:r>
      <w:r>
        <w:rPr>
          <w:rFonts w:eastAsia="仿宋_GB2312"/>
          <w:spacing w:val="4"/>
          <w:sz w:val="32"/>
          <w:szCs w:val="32"/>
        </w:rPr>
        <w:t>疗平台、现场出示等多种方式，查看就诊患者48小时核</w:t>
      </w:r>
      <w:r>
        <w:rPr>
          <w:rFonts w:eastAsia="仿宋_GB2312"/>
          <w:spacing w:val="3"/>
          <w:sz w:val="32"/>
          <w:szCs w:val="32"/>
        </w:rPr>
        <w:t>酸</w:t>
      </w:r>
      <w:r>
        <w:rPr>
          <w:rFonts w:eastAsia="仿宋_GB2312"/>
          <w:spacing w:val="-7"/>
          <w:sz w:val="32"/>
          <w:szCs w:val="32"/>
        </w:rPr>
        <w:t>检测结果。</w:t>
      </w:r>
      <w:r>
        <w:rPr>
          <w:rFonts w:eastAsia="仿宋_GB2312"/>
          <w:spacing w:val="-9"/>
          <w:sz w:val="32"/>
          <w:szCs w:val="32"/>
        </w:rPr>
        <w:t>对于急诊患者，不得以任何理由拒诊影响救治。对于出现发热、呼吸道症状的患者引导至发热门诊就诊。</w:t>
      </w:r>
    </w:p>
    <w:p>
      <w:pPr>
        <w:widowControl/>
        <w:numPr>
          <w:ilvl w:val="255"/>
          <w:numId w:val="0"/>
        </w:numPr>
        <w:spacing w:line="560" w:lineRule="exact"/>
        <w:ind w:firstLine="604" w:firstLineChars="200"/>
        <w:rPr>
          <w:rFonts w:eastAsia="仿宋_GB2312"/>
          <w:sz w:val="32"/>
          <w:szCs w:val="32"/>
        </w:rPr>
      </w:pPr>
      <w:r>
        <w:rPr>
          <w:rFonts w:eastAsia="仿宋_GB2312"/>
          <w:spacing w:val="-9"/>
          <w:sz w:val="32"/>
          <w:szCs w:val="32"/>
        </w:rPr>
        <w:t>2.对门急诊诊疗区域布局进行调整。</w:t>
      </w:r>
      <w:r>
        <w:rPr>
          <w:rFonts w:eastAsia="仿宋_GB2312"/>
          <w:spacing w:val="-7"/>
          <w:sz w:val="32"/>
          <w:szCs w:val="32"/>
        </w:rPr>
        <w:t>门急诊区域要划分出核酸阳性诊疗区和核酸阴性诊</w:t>
      </w:r>
      <w:r>
        <w:rPr>
          <w:rFonts w:eastAsia="仿宋_GB2312"/>
          <w:spacing w:val="-6"/>
          <w:sz w:val="32"/>
          <w:szCs w:val="32"/>
        </w:rPr>
        <w:t>疗区，分别接诊相应患者</w:t>
      </w:r>
      <w:r>
        <w:rPr>
          <w:rFonts w:eastAsia="仿宋_GB2312"/>
          <w:sz w:val="32"/>
          <w:szCs w:val="32"/>
        </w:rPr>
        <w:t>。急诊同时设置缓冲区域，接诊无48小时核酸检测结果的就诊患者。发热门诊、门急诊阳性诊疗区、急诊缓冲区医护人员规范佩戴医用防护口罩，穿隔离衣，戴手套。</w:t>
      </w:r>
    </w:p>
    <w:p>
      <w:pPr>
        <w:overflowPunct w:val="0"/>
        <w:topLinePunct/>
        <w:spacing w:line="560" w:lineRule="exact"/>
        <w:ind w:firstLine="620" w:firstLineChars="200"/>
        <w:outlineLvl w:val="0"/>
        <w:rPr>
          <w:rFonts w:ascii="方正黑体_GBK" w:eastAsia="方正黑体_GBK"/>
          <w:spacing w:val="-5"/>
          <w:sz w:val="32"/>
          <w:szCs w:val="32"/>
        </w:rPr>
      </w:pPr>
      <w:r>
        <w:rPr>
          <w:rFonts w:ascii="方正黑体_GBK" w:eastAsia="方正黑体_GBK"/>
          <w:spacing w:val="-5"/>
          <w:sz w:val="32"/>
          <w:szCs w:val="32"/>
        </w:rPr>
        <w:t>三、优化住院患者收治流程</w:t>
      </w:r>
    </w:p>
    <w:p>
      <w:pPr>
        <w:overflowPunct w:val="0"/>
        <w:topLinePunct/>
        <w:spacing w:line="560" w:lineRule="exact"/>
        <w:ind w:firstLine="604" w:firstLineChars="200"/>
        <w:rPr>
          <w:rFonts w:eastAsia="仿宋_GB2312"/>
          <w:spacing w:val="5"/>
          <w:sz w:val="32"/>
          <w:szCs w:val="32"/>
        </w:rPr>
      </w:pPr>
      <w:r>
        <w:rPr>
          <w:rFonts w:eastAsia="仿宋_GB2312"/>
          <w:spacing w:val="-9"/>
          <w:sz w:val="32"/>
          <w:szCs w:val="32"/>
        </w:rPr>
        <w:t>3.加强入院患者健康监测。</w:t>
      </w:r>
      <w:r>
        <w:rPr>
          <w:rFonts w:eastAsia="仿宋_GB2312"/>
          <w:spacing w:val="-1"/>
          <w:sz w:val="32"/>
          <w:szCs w:val="32"/>
        </w:rPr>
        <w:t>医疗机构要对入院患者进行核酸检测，入院后根</w:t>
      </w:r>
      <w:r>
        <w:rPr>
          <w:rFonts w:eastAsia="仿宋_GB2312"/>
          <w:spacing w:val="-2"/>
          <w:sz w:val="32"/>
          <w:szCs w:val="32"/>
        </w:rPr>
        <w:t>据需要</w:t>
      </w:r>
      <w:r>
        <w:rPr>
          <w:rFonts w:eastAsia="仿宋_GB2312"/>
          <w:spacing w:val="12"/>
          <w:sz w:val="32"/>
          <w:szCs w:val="32"/>
        </w:rPr>
        <w:t>进行抗原或者核酸检测。要重点关注65岁以上合并严重基</w:t>
      </w:r>
      <w:r>
        <w:rPr>
          <w:rFonts w:eastAsia="仿宋_GB2312"/>
          <w:spacing w:val="5"/>
          <w:sz w:val="32"/>
          <w:szCs w:val="32"/>
        </w:rPr>
        <w:t>础疾病(肿瘤、呼吸系统疾病、心脑血管疾病、慢性肾功能衰竭、自身免疫缺陷疾病等)且未完成新冠病毒疫苗全程免</w:t>
      </w:r>
      <w:r>
        <w:rPr>
          <w:rFonts w:eastAsia="仿宋_GB2312"/>
          <w:spacing w:val="-10"/>
          <w:sz w:val="32"/>
          <w:szCs w:val="32"/>
        </w:rPr>
        <w:t>疫的患者，加强监测，一旦发现核酸阳性，要及时关注病情</w:t>
      </w:r>
      <w:r>
        <w:rPr>
          <w:rFonts w:eastAsia="仿宋_GB2312"/>
          <w:spacing w:val="5"/>
          <w:sz w:val="32"/>
          <w:szCs w:val="32"/>
        </w:rPr>
        <w:t>变化，加强医疗救治。</w:t>
      </w:r>
    </w:p>
    <w:p>
      <w:pPr>
        <w:overflowPunct w:val="0"/>
        <w:topLinePunct/>
        <w:spacing w:line="560" w:lineRule="exact"/>
        <w:ind w:firstLine="640" w:firstLineChars="200"/>
        <w:rPr>
          <w:rFonts w:eastAsia="仿宋_GB2312"/>
          <w:spacing w:val="5"/>
          <w:sz w:val="32"/>
          <w:szCs w:val="32"/>
        </w:rPr>
      </w:pPr>
      <w:r>
        <w:rPr>
          <w:rFonts w:eastAsia="仿宋_GB2312"/>
          <w:sz w:val="32"/>
          <w:szCs w:val="32"/>
        </w:rPr>
        <w:t>4.落实阳性患者分类处置措施。门急诊或发热门诊接诊的阳性患者，需要住院的按要求收治入院，其中需要住院救治的单纯新冠肺炎确诊病例可转到定点救治医院收治；不需要住院的提供相应诊疗服务后，由属地按规定落实居家隔离或集中隔离。</w:t>
      </w:r>
    </w:p>
    <w:p>
      <w:pPr>
        <w:overflowPunct w:val="0"/>
        <w:topLinePunct/>
        <w:spacing w:line="560" w:lineRule="exact"/>
        <w:ind w:firstLine="640" w:firstLineChars="200"/>
        <w:rPr>
          <w:rFonts w:eastAsia="仿宋_GB2312"/>
          <w:szCs w:val="32"/>
        </w:rPr>
      </w:pPr>
      <w:r>
        <w:rPr>
          <w:rFonts w:eastAsia="仿宋_GB2312"/>
          <w:sz w:val="32"/>
          <w:szCs w:val="32"/>
        </w:rPr>
        <w:t>5.做好阳性患者住院救治安排。阳性患者尽可能收治在独立院区（楼栋），没有独立院区（楼栋）的可在院内相对独立的区域设置阳性患者综合收治病区。医护人员相对固定，规范佩戴医用防护口罩，穿隔离衣。</w:t>
      </w:r>
      <w:r>
        <w:rPr>
          <w:rFonts w:eastAsia="仿宋_GB2312"/>
          <w:spacing w:val="-2"/>
          <w:sz w:val="32"/>
          <w:szCs w:val="32"/>
        </w:rPr>
        <w:t>对住院患者仍然严格执行不探视，非必要不陪护，确</w:t>
      </w:r>
      <w:r>
        <w:rPr>
          <w:rFonts w:eastAsia="仿宋_GB2312"/>
          <w:sz w:val="32"/>
          <w:szCs w:val="32"/>
        </w:rPr>
        <w:t>需陪护的固定陪护人员，陪护期间严格防护、严禁外出。急</w:t>
      </w:r>
      <w:r>
        <w:rPr>
          <w:rFonts w:eastAsia="仿宋_GB2312"/>
          <w:spacing w:val="-4"/>
          <w:sz w:val="32"/>
          <w:szCs w:val="32"/>
        </w:rPr>
        <w:t>诊留观病房患者按照住院患者管理。</w:t>
      </w:r>
    </w:p>
    <w:p>
      <w:pPr>
        <w:overflowPunct w:val="0"/>
        <w:topLinePunct/>
        <w:spacing w:line="560" w:lineRule="exact"/>
        <w:ind w:firstLine="620" w:firstLineChars="200"/>
        <w:outlineLvl w:val="0"/>
        <w:rPr>
          <w:rFonts w:ascii="方正黑体_GBK" w:eastAsia="方正黑体_GBK"/>
          <w:spacing w:val="-5"/>
          <w:sz w:val="32"/>
          <w:szCs w:val="32"/>
        </w:rPr>
      </w:pPr>
      <w:r>
        <w:rPr>
          <w:rFonts w:ascii="方正黑体_GBK" w:eastAsia="方正黑体_GBK"/>
          <w:spacing w:val="-5"/>
          <w:sz w:val="32"/>
          <w:szCs w:val="32"/>
        </w:rPr>
        <w:t>四、关心关爱医务人员</w:t>
      </w:r>
    </w:p>
    <w:p>
      <w:pPr>
        <w:overflowPunct w:val="0"/>
        <w:topLinePunct/>
        <w:spacing w:line="560" w:lineRule="exact"/>
        <w:ind w:firstLine="604" w:firstLineChars="200"/>
        <w:rPr>
          <w:rFonts w:eastAsia="仿宋_GB2312"/>
          <w:sz w:val="32"/>
          <w:szCs w:val="32"/>
        </w:rPr>
      </w:pPr>
      <w:r>
        <w:rPr>
          <w:rFonts w:eastAsia="仿宋_GB2312"/>
          <w:spacing w:val="-9"/>
          <w:sz w:val="32"/>
          <w:szCs w:val="32"/>
        </w:rPr>
        <w:t>6.</w:t>
      </w:r>
      <w:r>
        <w:rPr>
          <w:rFonts w:eastAsia="仿宋_GB2312"/>
          <w:spacing w:val="13"/>
          <w:sz w:val="32"/>
          <w:szCs w:val="32"/>
        </w:rPr>
        <w:t>加强医务人员规范防护。医疗机构的所有医务人员均严格规范执行感染防控措</w:t>
      </w:r>
      <w:r>
        <w:rPr>
          <w:rFonts w:eastAsia="仿宋_GB2312"/>
          <w:spacing w:val="-7"/>
          <w:sz w:val="32"/>
          <w:szCs w:val="32"/>
        </w:rPr>
        <w:t>施，正确选用和佩戴医用防护口罩。医疗机构根据工作需要，</w:t>
      </w:r>
      <w:r>
        <w:rPr>
          <w:rFonts w:eastAsia="仿宋_GB2312"/>
          <w:spacing w:val="12"/>
          <w:sz w:val="32"/>
          <w:szCs w:val="32"/>
        </w:rPr>
        <w:t>组织对本机构医务人员进行抗原或核酸检测。对于出现发</w:t>
      </w:r>
      <w:r>
        <w:rPr>
          <w:rFonts w:eastAsia="仿宋_GB2312"/>
          <w:sz w:val="32"/>
          <w:szCs w:val="32"/>
        </w:rPr>
        <w:t>热、呼吸道症状等医务人员可以先进行抗原检测，根据医务</w:t>
      </w:r>
      <w:r>
        <w:rPr>
          <w:rFonts w:eastAsia="仿宋_GB2312"/>
          <w:spacing w:val="-1"/>
          <w:sz w:val="32"/>
          <w:szCs w:val="32"/>
        </w:rPr>
        <w:t>人员健康状况和检测结果等，安排进入相应诊疗区域工作或</w:t>
      </w:r>
      <w:r>
        <w:rPr>
          <w:rFonts w:eastAsia="仿宋_GB2312"/>
          <w:sz w:val="32"/>
          <w:szCs w:val="32"/>
        </w:rPr>
        <w:t>者居家健康监测。</w:t>
      </w:r>
    </w:p>
    <w:p>
      <w:pPr>
        <w:overflowPunct w:val="0"/>
        <w:topLinePunct/>
        <w:spacing w:line="560" w:lineRule="exact"/>
        <w:ind w:firstLine="640" w:firstLineChars="200"/>
        <w:rPr>
          <w:rFonts w:eastAsia="仿宋_GB2312"/>
          <w:sz w:val="32"/>
          <w:szCs w:val="32"/>
        </w:rPr>
      </w:pPr>
      <w:r>
        <w:rPr>
          <w:rFonts w:eastAsia="仿宋_GB2312"/>
          <w:sz w:val="32"/>
          <w:szCs w:val="32"/>
        </w:rPr>
        <w:t>7.落实关心关爱医务人员措施。医疗机构要</w:t>
      </w:r>
      <w:r>
        <w:rPr>
          <w:rFonts w:eastAsia="仿宋_GB2312"/>
          <w:spacing w:val="2"/>
          <w:sz w:val="32"/>
          <w:szCs w:val="32"/>
        </w:rPr>
        <w:t>做好医务人员健康监测和疫苗接种，根据疫情防控形势和临</w:t>
      </w:r>
      <w:r>
        <w:rPr>
          <w:rFonts w:eastAsia="仿宋_GB2312"/>
          <w:spacing w:val="1"/>
          <w:sz w:val="32"/>
          <w:szCs w:val="32"/>
        </w:rPr>
        <w:t>床救治实际，动态优化和调整医务人员编组、医疗力量配备</w:t>
      </w:r>
      <w:r>
        <w:rPr>
          <w:rFonts w:eastAsia="仿宋_GB2312"/>
          <w:spacing w:val="-7"/>
          <w:sz w:val="32"/>
          <w:szCs w:val="32"/>
        </w:rPr>
        <w:t>与工作班次安排。</w:t>
      </w:r>
    </w:p>
    <w:p>
      <w:pPr>
        <w:overflowPunct w:val="0"/>
        <w:topLinePunct/>
        <w:spacing w:line="560" w:lineRule="exact"/>
        <w:ind w:firstLine="620" w:firstLineChars="200"/>
        <w:outlineLvl w:val="0"/>
        <w:rPr>
          <w:rFonts w:ascii="方正黑体_GBK" w:eastAsia="方正黑体_GBK"/>
          <w:spacing w:val="-5"/>
          <w:sz w:val="32"/>
          <w:szCs w:val="32"/>
        </w:rPr>
      </w:pPr>
      <w:r>
        <w:rPr>
          <w:rFonts w:ascii="方正黑体_GBK" w:eastAsia="方正黑体_GBK"/>
          <w:spacing w:val="-5"/>
          <w:sz w:val="32"/>
          <w:szCs w:val="32"/>
        </w:rPr>
        <w:t>五、确保正常医疗服务</w:t>
      </w:r>
    </w:p>
    <w:p>
      <w:pPr>
        <w:overflowPunct w:val="0"/>
        <w:topLinePunct/>
        <w:spacing w:line="560" w:lineRule="exact"/>
        <w:ind w:firstLine="644" w:firstLineChars="200"/>
        <w:rPr>
          <w:rFonts w:eastAsia="仿宋_GB2312"/>
          <w:spacing w:val="1"/>
          <w:sz w:val="32"/>
          <w:szCs w:val="32"/>
        </w:rPr>
      </w:pPr>
      <w:r>
        <w:rPr>
          <w:rFonts w:eastAsia="仿宋_GB2312"/>
          <w:spacing w:val="1"/>
          <w:sz w:val="32"/>
          <w:szCs w:val="32"/>
        </w:rPr>
        <w:t>8.确保诊疗工作正常运行。医疗机构要为患者提供医</w:t>
      </w:r>
      <w:r>
        <w:rPr>
          <w:rFonts w:eastAsia="仿宋_GB2312"/>
          <w:sz w:val="32"/>
          <w:szCs w:val="32"/>
        </w:rPr>
        <w:t>疗服务，不得因收治阳性患者影响常规诊疗和急危重症救治，</w:t>
      </w:r>
      <w:r>
        <w:rPr>
          <w:rFonts w:eastAsia="仿宋_GB2312"/>
          <w:spacing w:val="14"/>
          <w:sz w:val="32"/>
          <w:szCs w:val="32"/>
        </w:rPr>
        <w:t xml:space="preserve"> </w:t>
      </w:r>
      <w:r>
        <w:rPr>
          <w:rFonts w:eastAsia="仿宋_GB2312"/>
          <w:spacing w:val="1"/>
          <w:sz w:val="32"/>
          <w:szCs w:val="32"/>
        </w:rPr>
        <w:t>特别要做好慢性肾功能衰竭等严重基础疾病、肿瘤放化疗等</w:t>
      </w:r>
      <w:r>
        <w:rPr>
          <w:rFonts w:eastAsia="仿宋_GB2312"/>
          <w:spacing w:val="17"/>
          <w:sz w:val="32"/>
          <w:szCs w:val="32"/>
        </w:rPr>
        <w:t xml:space="preserve"> </w:t>
      </w:r>
      <w:r>
        <w:rPr>
          <w:rFonts w:eastAsia="仿宋_GB2312"/>
          <w:spacing w:val="1"/>
          <w:sz w:val="32"/>
          <w:szCs w:val="32"/>
        </w:rPr>
        <w:t>患者的医疗服务。各地要为医疗机构切实履行职责提供必要</w:t>
      </w:r>
      <w:r>
        <w:rPr>
          <w:rFonts w:eastAsia="仿宋_GB2312"/>
          <w:spacing w:val="18"/>
          <w:sz w:val="32"/>
          <w:szCs w:val="32"/>
        </w:rPr>
        <w:t xml:space="preserve"> </w:t>
      </w:r>
      <w:r>
        <w:rPr>
          <w:rFonts w:eastAsia="仿宋_GB2312"/>
          <w:spacing w:val="1"/>
          <w:sz w:val="32"/>
          <w:szCs w:val="32"/>
        </w:rPr>
        <w:t>保障，营造良好的法治环境、政策环境和社会氛围。</w:t>
      </w:r>
    </w:p>
    <w:p>
      <w:pPr>
        <w:overflowPunct w:val="0"/>
        <w:topLinePunct/>
        <w:spacing w:line="560" w:lineRule="exact"/>
        <w:ind w:firstLine="644" w:firstLineChars="200"/>
        <w:rPr>
          <w:rFonts w:eastAsia="仿宋_GB2312"/>
          <w:spacing w:val="-1"/>
          <w:sz w:val="32"/>
          <w:szCs w:val="32"/>
        </w:rPr>
      </w:pPr>
      <w:r>
        <w:rPr>
          <w:rFonts w:eastAsia="仿宋_GB2312"/>
          <w:spacing w:val="1"/>
          <w:sz w:val="32"/>
          <w:szCs w:val="32"/>
        </w:rPr>
        <w:t>9.保障医务人员执业安全。医疗机</w:t>
      </w:r>
      <w:r>
        <w:rPr>
          <w:rFonts w:eastAsia="仿宋_GB2312"/>
          <w:spacing w:val="2"/>
          <w:sz w:val="32"/>
          <w:szCs w:val="32"/>
        </w:rPr>
        <w:t>构内感染判定要充分调查、科学分析、综合研判，要通过科</w:t>
      </w:r>
      <w:r>
        <w:rPr>
          <w:rFonts w:eastAsia="仿宋_GB2312"/>
          <w:spacing w:val="1"/>
          <w:sz w:val="32"/>
          <w:szCs w:val="32"/>
        </w:rPr>
        <w:t>学防护最大限度减少医务人员职业暴露。要加强医务人员激励，鼓励医务人员为患者提供医疗服务。要通过加强宣传引导，让全社会科学、理性认识传染</w:t>
      </w:r>
      <w:r>
        <w:rPr>
          <w:rFonts w:eastAsia="仿宋_GB2312"/>
          <w:spacing w:val="-1"/>
          <w:sz w:val="32"/>
          <w:szCs w:val="32"/>
        </w:rPr>
        <w:t>病及其风险，通过多种方式促进医患关系和谐。</w:t>
      </w:r>
    </w:p>
    <w:p>
      <w:pPr>
        <w:rPr>
          <w:rFonts w:ascii="仿宋_GB2312" w:eastAsia="仿宋_GB2312"/>
          <w:sz w:val="32"/>
        </w:rPr>
      </w:pPr>
    </w:p>
    <w:p>
      <w:pPr>
        <w:rPr>
          <w:rFonts w:ascii="仿宋_GB2312" w:hAnsi="仿宋_GB2312" w:eastAsia="仿宋_GB2312" w:cs="仿宋_GB2312"/>
          <w:spacing w:val="-1"/>
          <w:sz w:val="48"/>
          <w:szCs w:val="32"/>
        </w:rPr>
      </w:pPr>
    </w:p>
    <w:p>
      <w:pPr>
        <w:rPr>
          <w:rFonts w:ascii="仿宋_GB2312" w:eastAsia="仿宋_GB2312"/>
          <w:sz w:val="32"/>
        </w:rPr>
      </w:pPr>
    </w:p>
    <w:p>
      <w:pPr>
        <w:rPr>
          <w:rFonts w:ascii="仿宋_GB2312" w:hAnsi="仿宋_GB2312" w:eastAsia="仿宋_GB2312" w:cs="仿宋_GB2312"/>
          <w:spacing w:val="-1"/>
          <w:sz w:val="48"/>
          <w:szCs w:val="32"/>
        </w:rPr>
      </w:pPr>
    </w:p>
    <w:p>
      <w:pPr>
        <w:rPr>
          <w:rFonts w:ascii="仿宋_GB2312" w:eastAsia="仿宋_GB2312"/>
          <w:sz w:val="32"/>
        </w:rPr>
      </w:pPr>
    </w:p>
    <w:p>
      <w:pPr>
        <w:rPr>
          <w:rFonts w:ascii="仿宋_GB2312" w:hAnsi="仿宋_GB2312" w:eastAsia="仿宋_GB2312" w:cs="仿宋_GB2312"/>
          <w:spacing w:val="-1"/>
          <w:sz w:val="48"/>
          <w:szCs w:val="32"/>
        </w:rPr>
      </w:pPr>
    </w:p>
    <w:p>
      <w:r>
        <w:br w:type="page"/>
      </w:r>
    </w:p>
    <w:p/>
    <w:p>
      <w:pPr>
        <w:spacing w:line="640" w:lineRule="exact"/>
        <w:jc w:val="center"/>
        <w:rPr>
          <w:rFonts w:ascii="方正小标宋_GBK" w:hAnsi="方正小标宋_GBK" w:eastAsia="方正小标宋_GBK" w:cs="方正小标宋_GBK"/>
          <w:sz w:val="44"/>
          <w:szCs w:val="44"/>
        </w:rPr>
      </w:pPr>
    </w:p>
    <w:p>
      <w:pPr>
        <w:spacing w:line="64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做好当前孕产妇和儿童</w:t>
      </w:r>
    </w:p>
    <w:p>
      <w:pPr>
        <w:spacing w:line="64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健康管理与医疗服务保障工作要求</w:t>
      </w:r>
    </w:p>
    <w:p>
      <w:pPr>
        <w:spacing w:line="560" w:lineRule="exact"/>
        <w:rPr>
          <w:rFonts w:ascii="方正仿宋_GBK" w:hAnsi="方正仿宋_GBK" w:eastAsia="方正仿宋_GBK" w:cs="方正仿宋_GBK"/>
          <w:sz w:val="32"/>
          <w:szCs w:val="32"/>
        </w:rPr>
      </w:pPr>
    </w:p>
    <w:p>
      <w:pPr>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为贯彻落实《关于进一步优化落实新冠肺炎疫情防控措施的通知》（联防联控机制综发〔2022〕113号）和《关于进一步做好当前孕产妇和儿童健康管理与医疗服务保障工作的通知》（联防联控机制综发〔2022〕120号）要求，进一步做好当前孕产妇和儿童健康管理与医疗服务保障工作，切实维护母婴安全，最大程度保护孕产妇和儿童生命安全与身体健康，根据疫情防控总体安排，现提出以下工作要求。</w:t>
      </w:r>
    </w:p>
    <w:p>
      <w:pPr>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一、加强健康宣教指导</w:t>
      </w:r>
    </w:p>
    <w:p>
      <w:pPr>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各市要</w:t>
      </w:r>
      <w:r>
        <w:rPr>
          <w:rFonts w:hint="eastAsia" w:ascii="仿宋_GB2312" w:hAnsi="仿宋" w:eastAsia="仿宋_GB2312" w:cs="仿宋_GB2312"/>
          <w:sz w:val="32"/>
          <w:szCs w:val="32"/>
        </w:rPr>
        <w:t>通过媒体向社会及时公布“应急助产机构”名单，</w:t>
      </w:r>
      <w:r>
        <w:rPr>
          <w:rFonts w:hint="eastAsia" w:ascii="仿宋_GB2312" w:hAnsi="方正仿宋_GBK" w:eastAsia="仿宋_GB2312" w:cs="方正仿宋_GBK"/>
          <w:sz w:val="32"/>
          <w:szCs w:val="32"/>
        </w:rPr>
        <w:t>指导医疗机构和妇幼保健机构通过微信、APP、电话、视频、线上孕妇学校等方式加强对孕产妇和儿童监护人的健康教育和咨询指导，指导孕产妇和儿童家庭做好健康监测和日常防护，建议孕产妇和儿童外出或到公共场所时佩戴口罩，到医疗机构就诊时佩戴N95口罩，少到人员聚集和空间密闭场所，居家或在办公室时经常通风，保持空气流通，掌握正确洗手方法，外出返家认真洗手。各地要积极开展“互联网+妇幼健康”服务，充分利用APP、微信小程序等形式做好高危孕产妇专案管理、婴幼儿养育照护指导等孕产妇和儿童系统保健服务与健康管理，有条件的医疗机构可利用胎心监护仪、经皮黄疸检测仪等可穿戴设备为孕产妇和新生儿提供健康监测与管理，切实减少群众非必须到院和交叉感染风险。</w:t>
      </w:r>
    </w:p>
    <w:p>
      <w:pPr>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二、强化主动服务随访</w:t>
      </w:r>
    </w:p>
    <w:p>
      <w:pPr>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各县（市、区）卫生健康部门要结合孕产妇和儿童系统管理，指导社区进一步摸清辖区内常住孕产妇和0-6岁儿童情况，建立人员清单和重点人群台账，制定健康安全保障方案，引导孕产妇及时主动向社区报备，以便及时获得就诊服务。指导助产机构与在本机构建册或产检的孕产妇保持密切联系，告知应急联系方式，以便出现问题及时沟通解决；以妊娠风险评估“五色管理”为橙色、红色和紫色以及孕周在37周及以上的孕产妇为重点，详细了解每一位孕产妇隔离状态和健康状况，通过多种方式为孕产妇提供健康管理咨询与指导服务，加强心理支持，舒缓孕产妇心理压力。县级妇幼保健机构要根据社区摸排和孕产妇、儿童系统管理情况，指导基层医疗卫生机构共同对妊娠风险评估“五色管理”为橙色、红色和紫色以及孕周在37周及以上的孕产妇和高危新生儿进行重点核查、主动服务和随访管理。</w:t>
      </w:r>
    </w:p>
    <w:p>
      <w:pPr>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三、保障正常医疗服务</w:t>
      </w:r>
    </w:p>
    <w:p>
      <w:pPr>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各地要推动建立社区与专门医疗机构的对接机制，做好服务衔接，确保渠道畅通、响应及时，为涉疫孕产妇、儿童等提供就医便利。各级助产机构要保持持续运行，未经所在地县级及以上卫生健康部门同意，不得擅自停止助产服务。个别助产机构临时关闭的，关闭前已建档和关闭时尚在待产的孕产妇，原则上转移至此前各地确定的应急助产机构接受产检和住院分娩。各级妇幼保健机构要加强对基层医疗卫生机构孕产妇保健和儿童保健工作的指导和检查，保障疫情期间孕产妇和儿童医疗保健服务需求，要提升中医临床救治能力，充分发挥中医药在妇女儿童新冠肺炎诊疗和预防祛疫中的重要作用。</w:t>
      </w:r>
    </w:p>
    <w:p>
      <w:pPr>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四、确保绿色通道畅通</w:t>
      </w:r>
    </w:p>
    <w:p>
      <w:pPr>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各级医疗机构要确保孕产妇、儿童急诊急救绿色通道畅通，严格落实首诊负责制和急危重症抢救制度，妥善处置、及时转运急危重症患者，对临产孕产妇、危重孕产妇和危重新生儿、儿童等需要急诊急救的患者，要在做好防护的同时给予积极治疗，不得以疫情防控为由拒诊、推诿或延误治疗。优化急诊患者具体接诊流程，按照疫情防控医疗管理相关要求执行。各级危重孕产妇和新生儿救治中心要切实发挥母婴安全重症救治的“兜底”保障作用。各级助产机构要完善孕产妇入院筛查流程和应急预案，指导孕产妇适时接受核酸检测，提前做好住院分娩准备。</w:t>
      </w:r>
    </w:p>
    <w:p>
      <w:pPr>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五、优化门诊就医流程</w:t>
      </w:r>
    </w:p>
    <w:p>
      <w:pPr>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color w:val="000000" w:themeColor="text1"/>
          <w:sz w:val="32"/>
          <w:szCs w:val="32"/>
          <w14:textFill>
            <w14:solidFill>
              <w14:schemeClr w14:val="tx1"/>
            </w14:solidFill>
          </w14:textFill>
        </w:rPr>
        <w:t>各级妇幼保健机构要按照《关于进一步优化就医流程做好当前医疗服务工作的通知》（联防联控机制综发〔2022〕114号）</w:t>
      </w:r>
      <w:r>
        <w:rPr>
          <w:rFonts w:hint="eastAsia" w:ascii="仿宋_GB2312" w:hAnsi="方正仿宋_GBK" w:eastAsia="仿宋_GB2312" w:cs="方正仿宋_GBK"/>
          <w:sz w:val="32"/>
          <w:szCs w:val="32"/>
        </w:rPr>
        <w:t>要求，通过预约诊疗平台、现场出示等各种方式查看就诊孕产妇和儿童48小时内核酸检测结果，对于3岁以下婴幼儿可免于核酸查验，仅查验陪诊人员核酸。要进一步优化门急诊就医流程，将门诊区域划分为核酸阳性诊疗区和核酸阴性诊疗区，根据就诊孕产妇和儿童48小时内核酸检测结果分区就诊。设置发热门诊的妇幼保健机构，要严格按照《发热门诊设置管理规范》要求进一步优化流程，加强人员配备，切实加强发热门诊管理。要推进门诊预约诊疗、预约住院分娩、诊间结算、移动支付、网上查询与推送检查检验结果等智慧妇幼服务，减少群众排队次数，努力缩短患者在院等候停留时间。要努力提供门诊、超声检查、胎心监护、采血、尿检等环节的“一站式”便捷服务，减少就诊人群在院内交叉流动。</w:t>
      </w:r>
    </w:p>
    <w:p>
      <w:pPr>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六、严格住院安全管理</w:t>
      </w:r>
    </w:p>
    <w:p>
      <w:pPr>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各级开展临床服务的妇幼保健机构要对入院患者进行核酸检测，入院后根据需要进行核酸检测或抗原检测。要重点关注危重孕产妇和新生儿，复杂先心术后、骨髓移植术后等基础状况较差的儿童患者，以及未完成新冠病毒疫苗接种的孕产妇和儿童患者（特别是3岁以下儿童），持续加强监测，一旦发现核酸检测阳性，要密切关注病情变化，全力加强医疗救治。要安排相对独立的区域（院区、楼栋、病区或病室）收治核酸阳性患者，医护人员相对固定。严格落实病区封闭管理要求，严格执行不探视和非必要不陪护，确需陪护的应安排1名固定陪护人员并在病区内实行全程封闭管理，特别要加强分娩室、新生儿病房的安全管理与院感防控。要规范设置过渡病区（或过渡病室）、隔离分娩间，对需要收住院但暂无核酸检测结果的急诊患者，应当先收治在过渡病区（或过渡病室），在隔离分娩间进行分娩，待确认核酸检测结果后再转入相应病区。</w:t>
      </w:r>
    </w:p>
    <w:p>
      <w:pPr>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七、关爱患者和医务人员</w:t>
      </w:r>
    </w:p>
    <w:p>
      <w:pPr>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各地要积极利用信息化手段开展新生儿重症监护室等科室的远程探视，加强与家长的交流沟通，缓解家长紧张焦虑情绪。各级妇幼保健机构要利用“云上妇幼”等平台开展全员培训，指导所有医务人员严格规范执行感染防控措施，根据暴露风险和开展的诊疗操作，配备适宜、充足的防护用品，最大限度减少医务人员职业暴露，保障医务人员执业安全。根据工作需要，组织对本机构医务人员进行核酸检测或抗原检测，对分娩室、新生儿科、手术室等重点科室和部位的医务人员原则上实行每日一检。要密切监测门急诊运行和床位使用情况，结合医务人员健康状况，统筹调配人力资源，优化排班编组、有序值班值守，保障医务人员得到合理休息。</w:t>
      </w:r>
    </w:p>
    <w:p>
      <w:pPr>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八、做好医疗资源储备</w:t>
      </w:r>
    </w:p>
    <w:p>
      <w:pPr>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各级开展临床服务的妇幼保健机构要结合本单位实际下大力气加强重症医学、麻醉等重点科室建设，完善负压产房、重症监护室等重点设施，配齐配足急诊急救、重症救治、检验检测等仪器设备，做好医用耗材、药品、防护装备、消毒用品储备，备足抗原检测试剂。重视发挥中医药独特优势，储备好适宜的中成药和适量的中药材。建立完善物资储备清单，实行物资设备动态储备，物资和药品储备量应当满足辖区内孕产妇和儿童等人群医疗服务需求。</w:t>
      </w:r>
    </w:p>
    <w:p/>
    <w:p>
      <w:pPr>
        <w:rPr>
          <w:rFonts w:ascii="仿宋_GB2312" w:hAnsi="仿宋_GB2312" w:eastAsia="仿宋_GB2312" w:cs="仿宋_GB2312"/>
          <w:spacing w:val="-1"/>
          <w:sz w:val="32"/>
          <w:szCs w:val="32"/>
        </w:rPr>
      </w:pPr>
      <w:r>
        <w:rPr>
          <w:rFonts w:ascii="仿宋_GB2312" w:hAnsi="仿宋_GB2312" w:eastAsia="仿宋_GB2312" w:cs="仿宋_GB2312"/>
          <w:spacing w:val="-1"/>
          <w:sz w:val="32"/>
          <w:szCs w:val="32"/>
        </w:rPr>
        <w:br w:type="page"/>
      </w:r>
    </w:p>
    <w:p>
      <w:pPr>
        <w:pStyle w:val="15"/>
        <w:spacing w:before="0" w:beforeAutospacing="0" w:after="0" w:afterAutospacing="0" w:line="33" w:lineRule="atLeast"/>
        <w:ind w:firstLine="880"/>
        <w:jc w:val="center"/>
        <w:rPr>
          <w:rStyle w:val="19"/>
          <w:rFonts w:ascii="方正小标宋简体" w:eastAsia="方正小标宋简体"/>
          <w:b w:val="0"/>
          <w:bCs w:val="0"/>
          <w:color w:val="000000"/>
          <w:sz w:val="44"/>
          <w:szCs w:val="44"/>
        </w:rPr>
      </w:pPr>
    </w:p>
    <w:p>
      <w:pPr>
        <w:pStyle w:val="15"/>
        <w:spacing w:before="0" w:beforeAutospacing="0" w:after="0" w:afterAutospacing="0" w:line="560" w:lineRule="exact"/>
        <w:ind w:firstLine="880"/>
        <w:jc w:val="center"/>
        <w:rPr>
          <w:rStyle w:val="19"/>
          <w:rFonts w:ascii="方正小标宋简体" w:eastAsia="方正小标宋简体"/>
          <w:b w:val="0"/>
          <w:bCs w:val="0"/>
          <w:color w:val="000000"/>
          <w:sz w:val="44"/>
          <w:szCs w:val="44"/>
        </w:rPr>
      </w:pPr>
      <w:r>
        <w:rPr>
          <w:rStyle w:val="19"/>
          <w:rFonts w:hint="eastAsia" w:ascii="方正小标宋简体" w:eastAsia="方正小标宋简体"/>
          <w:b w:val="0"/>
          <w:bCs w:val="0"/>
          <w:color w:val="000000"/>
          <w:sz w:val="44"/>
          <w:szCs w:val="44"/>
        </w:rPr>
        <w:t>新冠重点人群健康服务工作方案</w:t>
      </w:r>
    </w:p>
    <w:p>
      <w:pPr>
        <w:pStyle w:val="15"/>
        <w:spacing w:before="0" w:beforeAutospacing="0" w:after="0" w:afterAutospacing="0" w:line="560" w:lineRule="exact"/>
        <w:ind w:firstLine="880"/>
        <w:jc w:val="center"/>
        <w:rPr>
          <w:rFonts w:ascii="方正小标宋简体" w:hAnsi="仿宋" w:eastAsia="方正小标宋简体" w:cs="仿宋"/>
          <w:color w:val="000000"/>
          <w:sz w:val="32"/>
          <w:szCs w:val="32"/>
        </w:rPr>
      </w:pP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根据国务院联防联控机制综合组《关于开展新冠重点人群健康调查的通知》（国卫明电〔2022〕487号），对老年人（65岁及以上，下同）合并基础性疾病及其新冠病毒疫苗接种情况进行调查并分类登记。现就做好已登记重点人群的健康服务制定本方案。</w:t>
      </w:r>
    </w:p>
    <w:p>
      <w:pPr>
        <w:pStyle w:val="15"/>
        <w:spacing w:before="0" w:beforeAutospacing="0" w:after="0" w:afterAutospacing="0" w:line="560" w:lineRule="exact"/>
        <w:ind w:firstLine="640" w:firstLineChars="200"/>
        <w:rPr>
          <w:rFonts w:ascii="方正黑体_GBK" w:hAnsi="Times New Roman" w:eastAsia="方正黑体_GBK"/>
          <w:color w:val="000000"/>
          <w:sz w:val="32"/>
          <w:szCs w:val="32"/>
        </w:rPr>
      </w:pPr>
      <w:r>
        <w:rPr>
          <w:rStyle w:val="19"/>
          <w:rFonts w:hint="eastAsia" w:ascii="方正黑体_GBK" w:hAnsi="Times New Roman" w:eastAsia="方正黑体_GBK"/>
          <w:b w:val="0"/>
          <w:color w:val="000000"/>
          <w:sz w:val="32"/>
          <w:szCs w:val="32"/>
        </w:rPr>
        <w:t>一、明确开展健康服务的原则</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坚持分类分级、突出重点的原则，根据患基础疾病情况、新冠病毒疫苗接种情况、感染后风险程度等分为三个类别：重点人群（高风险）、次重点人群（中风险）、一般人群（低风险），分别用红、黄、绿色进行标记，颜色不同，服务内容不同。</w:t>
      </w:r>
    </w:p>
    <w:p>
      <w:pPr>
        <w:pStyle w:val="15"/>
        <w:spacing w:before="0" w:beforeAutospacing="0" w:after="0" w:afterAutospacing="0" w:line="560" w:lineRule="exact"/>
        <w:ind w:firstLine="640" w:firstLineChars="200"/>
        <w:rPr>
          <w:rStyle w:val="19"/>
          <w:rFonts w:ascii="方正黑体_GBK" w:hAnsi="Times New Roman" w:eastAsia="方正黑体_GBK"/>
          <w:b w:val="0"/>
          <w:color w:val="000000"/>
          <w:sz w:val="32"/>
          <w:szCs w:val="32"/>
        </w:rPr>
      </w:pPr>
      <w:r>
        <w:rPr>
          <w:rStyle w:val="19"/>
          <w:rFonts w:hint="eastAsia" w:ascii="方正黑体_GBK" w:hAnsi="Times New Roman" w:eastAsia="方正黑体_GBK"/>
          <w:b w:val="0"/>
          <w:color w:val="000000"/>
          <w:sz w:val="32"/>
          <w:szCs w:val="32"/>
        </w:rPr>
        <w:t>二、开展分类分级服务</w:t>
      </w:r>
    </w:p>
    <w:p>
      <w:pPr>
        <w:pStyle w:val="15"/>
        <w:spacing w:before="0" w:beforeAutospacing="0" w:after="0" w:afterAutospacing="0" w:line="560" w:lineRule="exact"/>
        <w:ind w:firstLine="640" w:firstLineChars="200"/>
        <w:rPr>
          <w:rFonts w:ascii="楷体_GB2312" w:hAnsi="Times New Roman" w:eastAsia="楷体_GB2312"/>
          <w:color w:val="000000"/>
          <w:sz w:val="32"/>
          <w:szCs w:val="32"/>
        </w:rPr>
      </w:pPr>
      <w:r>
        <w:rPr>
          <w:rStyle w:val="19"/>
          <w:rFonts w:hint="eastAsia" w:ascii="楷体_GB2312" w:hAnsi="Times New Roman" w:eastAsia="楷体_GB2312"/>
          <w:b w:val="0"/>
          <w:color w:val="000000"/>
          <w:sz w:val="32"/>
          <w:szCs w:val="32"/>
        </w:rPr>
        <w:t>（一）一级服务。</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1.服务人群。一般人群（低风险，绿色标记）。</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2.服务内容。</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（1）社区（村）负责动员、宣传，对未完成加强免疫的，经医生评估后符合接种条件的，引导其尽快接种。</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（2）发挥街道（乡镇）、社区居民（村民）委员会及其公共卫生委员会、基层医疗卫生机构、家庭医生的作用，加强健康教育，倡导健康生活方式，做好个人健康防护。</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3）提供新冠肺炎相关咨询服务。社区（村）通过小喇叭、一封信、微信、短信、APP等形式，对现行新冠肺炎防控政策进行宣传，将基层医疗卫生机构值班电话或家庭医生的电话通知到每一户重点人群家庭，协助开展健康教育。</w:t>
      </w:r>
    </w:p>
    <w:p>
      <w:pPr>
        <w:pStyle w:val="15"/>
        <w:spacing w:before="0" w:beforeAutospacing="0" w:after="0" w:afterAutospacing="0" w:line="560" w:lineRule="exact"/>
        <w:ind w:firstLine="640" w:firstLineChars="200"/>
        <w:rPr>
          <w:rStyle w:val="19"/>
          <w:rFonts w:ascii="楷体_GB2312" w:hAnsi="Times New Roman" w:eastAsia="楷体_GB2312"/>
          <w:b w:val="0"/>
          <w:color w:val="000000"/>
          <w:sz w:val="32"/>
          <w:szCs w:val="32"/>
        </w:rPr>
      </w:pPr>
      <w:r>
        <w:rPr>
          <w:rStyle w:val="19"/>
          <w:rFonts w:hint="eastAsia" w:ascii="楷体_GB2312" w:hAnsi="Times New Roman" w:eastAsia="楷体_GB2312"/>
          <w:b w:val="0"/>
          <w:color w:val="000000"/>
          <w:sz w:val="32"/>
          <w:szCs w:val="32"/>
        </w:rPr>
        <w:t>（二）二级服务。</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1.服务人群。次重点人群（中风险，黄色标记）。</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2.服务内容。在一级服务的基础上开展二级服务。</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1）居家治疗的无症状或症状轻微的感染者，主动向社区（村）报备，并与辖区的基层医疗卫生机构联系，基层医疗卫生机构结合实际通过网络、视频、电话、远程或线下方式指导开展抗原检测、健康监测，提供健康咨询、用药指导等。经评估后为有需要的感染者提供可穿戴健康监测设备、指夹式脉搏血氧仪等开展健康监测，如出现持续高热、呼吸困难、指氧饱和度＜93%等情况尽快转诊。基层医疗卫生机构每3天随访一次，可根据需要加密随访频次，至居家治疗观察结束。</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（2）社区（村）协助落实对居家治疗感染者的管理，对有定期就医需求的指导协助就医，协助提供购药送药等服务。</w:t>
      </w:r>
    </w:p>
    <w:p>
      <w:pPr>
        <w:pStyle w:val="15"/>
        <w:spacing w:before="0" w:beforeAutospacing="0" w:after="0" w:afterAutospacing="0" w:line="560" w:lineRule="exact"/>
        <w:ind w:firstLine="640" w:firstLineChars="200"/>
        <w:rPr>
          <w:rStyle w:val="19"/>
          <w:rFonts w:ascii="楷体_GB2312" w:hAnsi="Times New Roman" w:eastAsia="楷体_GB2312"/>
          <w:b w:val="0"/>
          <w:color w:val="000000"/>
          <w:sz w:val="32"/>
          <w:szCs w:val="32"/>
        </w:rPr>
      </w:pPr>
      <w:r>
        <w:rPr>
          <w:rStyle w:val="19"/>
          <w:rFonts w:hint="eastAsia" w:ascii="楷体_GB2312" w:hAnsi="Times New Roman" w:eastAsia="楷体_GB2312"/>
          <w:b w:val="0"/>
          <w:color w:val="000000"/>
          <w:sz w:val="32"/>
          <w:szCs w:val="32"/>
        </w:rPr>
        <w:t>（三）三级服务。</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1.服务人群。</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（1）重点人群（高风险，红色标记）。</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（2）有紧急医疗需求的重点人群。</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（3）其他有紧急医疗需求的婴幼儿、孕产妇等人群。</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2.服务内容。在二级服务的基础上开展三级服务。</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1）失能老人或高龄行动不便感染者，经县（市、区）卫生健康部门确定的专家团队或上级医院评估后决定收治方式。对经评估后可居家的，在上级医院指导下，基层医疗卫生机构提供健康咨询、健康指导、健康监测、抗原检测等必要服务。经评估后不适宜居家的，基层医疗卫生机构指导协助转诊。</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（2）重点人群（高风险，红色标记）感染者和有紧急医疗需求的人群，社区（村）和基层医疗卫生机构协助转诊，有紧急医疗需求的也可通过急诊就诊。</w:t>
      </w:r>
    </w:p>
    <w:p>
      <w:pPr>
        <w:pStyle w:val="15"/>
        <w:spacing w:before="0" w:beforeAutospacing="0" w:after="0" w:afterAutospacing="0" w:line="560" w:lineRule="exact"/>
        <w:ind w:firstLine="640" w:firstLineChars="200"/>
        <w:rPr>
          <w:rStyle w:val="19"/>
          <w:rFonts w:ascii="方正黑体_GBK" w:hAnsi="Times New Roman" w:eastAsia="方正黑体_GBK"/>
          <w:b w:val="0"/>
          <w:color w:val="000000"/>
          <w:sz w:val="32"/>
          <w:szCs w:val="32"/>
        </w:rPr>
      </w:pPr>
      <w:r>
        <w:rPr>
          <w:rStyle w:val="19"/>
          <w:rFonts w:hint="eastAsia" w:ascii="方正黑体_GBK" w:hAnsi="Times New Roman" w:eastAsia="方正黑体_GBK"/>
          <w:b w:val="0"/>
          <w:color w:val="000000"/>
          <w:sz w:val="32"/>
          <w:szCs w:val="32"/>
        </w:rPr>
        <w:t>三、加强组织保障</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Style w:val="19"/>
          <w:rFonts w:hint="eastAsia" w:ascii="楷体_GB2312" w:hAnsi="Times New Roman" w:eastAsia="楷体_GB2312"/>
          <w:b w:val="0"/>
          <w:color w:val="000000"/>
          <w:sz w:val="32"/>
          <w:szCs w:val="32"/>
        </w:rPr>
        <w:t>（一）明确职责分工。</w:t>
      </w:r>
      <w:r>
        <w:rPr>
          <w:rFonts w:hint="eastAsia" w:ascii="仿宋_GB2312" w:hAnsi="Times New Roman" w:eastAsia="仿宋_GB2312"/>
          <w:color w:val="000000"/>
          <w:sz w:val="32"/>
          <w:szCs w:val="32"/>
        </w:rPr>
        <w:t>各地新冠疫情防控指挥部牵头负责，有关部门根据职责分别落实。以地市级为单元，卫生健康部门确定定点（亚定点）医疗机构，组建为基层医疗卫生机构提供技术支持的上级机构和专业团队，指导医疗卫生机构按分工提供重点人群健康管理和医疗救治，加强对各相关机构开展分类分级服务的培训。民政部门负责指导养老院、儿童福利机构等重点场所加强管理，在当地疫情防控指挥部的统一领导下动员社区（村）做好重点人群管理服务，指导居（村）民委员会配合基层医疗卫生机构围绕老年人及其他高风险人群，提供药品、抗原检测、联系上级医院等工作。相关部门要落实对重点人群调查、分级健康服务以及必要设备配备的经费保障。</w:t>
      </w:r>
    </w:p>
    <w:p>
      <w:pPr>
        <w:pStyle w:val="15"/>
        <w:spacing w:before="0" w:beforeAutospacing="0" w:after="0" w:afterAutospacing="0" w:line="560" w:lineRule="exact"/>
        <w:ind w:firstLine="640" w:firstLineChars="200"/>
        <w:jc w:val="both"/>
        <w:rPr>
          <w:rFonts w:ascii="仿宋_GB2312" w:hAnsi="Times New Roman" w:eastAsia="仿宋_GB2312"/>
          <w:color w:val="000000"/>
          <w:sz w:val="32"/>
          <w:szCs w:val="32"/>
        </w:rPr>
      </w:pPr>
      <w:r>
        <w:rPr>
          <w:rStyle w:val="19"/>
          <w:rFonts w:hint="eastAsia" w:ascii="楷体_GB2312" w:hAnsi="Times New Roman" w:eastAsia="楷体_GB2312"/>
          <w:b w:val="0"/>
          <w:color w:val="000000"/>
          <w:sz w:val="32"/>
          <w:szCs w:val="32"/>
        </w:rPr>
        <w:t>（二）加强基层医疗卫生机构药品和抗原检测试剂盒储备。</w:t>
      </w:r>
      <w:r>
        <w:rPr>
          <w:rFonts w:hint="eastAsia" w:ascii="仿宋_GB2312" w:hAnsi="Times New Roman" w:eastAsia="仿宋_GB2312"/>
          <w:color w:val="000000"/>
          <w:sz w:val="32"/>
          <w:szCs w:val="32"/>
        </w:rPr>
        <w:t>各地要加大供应保障力度，确保基层医疗卫生机构根据国家和本省份推荐的中药清单，按照服务人口总数的15—20%动态储备中药、解热和止咳等对症治疗药物、抗原检测试剂，人口稠密地区可酌情增加。县级卫生健康部门要组织药师团队为患者提供药品使用的禁忌、配伍、注意事项等用药指导。</w:t>
      </w:r>
    </w:p>
    <w:p>
      <w:pPr>
        <w:pStyle w:val="15"/>
        <w:spacing w:before="0" w:beforeAutospacing="0" w:after="0" w:afterAutospacing="0" w:line="560" w:lineRule="exact"/>
        <w:ind w:firstLine="640" w:firstLineChars="200"/>
        <w:rPr>
          <w:rStyle w:val="19"/>
          <w:rFonts w:ascii="仿宋_GB2312" w:hAnsi="Times New Roman" w:eastAsia="仿宋_GB2312"/>
          <w:b w:val="0"/>
          <w:color w:val="000000"/>
          <w:sz w:val="32"/>
          <w:szCs w:val="32"/>
        </w:rPr>
      </w:pPr>
      <w:r>
        <w:rPr>
          <w:rStyle w:val="19"/>
          <w:rFonts w:hint="eastAsia" w:ascii="楷体_GB2312" w:hAnsi="Times New Roman" w:eastAsia="楷体_GB2312"/>
          <w:b w:val="0"/>
          <w:color w:val="000000"/>
          <w:sz w:val="32"/>
          <w:szCs w:val="32"/>
        </w:rPr>
        <w:t>（三）提高基层医疗卫生机构服务水平。</w:t>
      </w:r>
    </w:p>
    <w:p>
      <w:pPr>
        <w:pStyle w:val="15"/>
        <w:spacing w:before="0" w:beforeAutospacing="0" w:after="0" w:afterAutospacing="0" w:line="560" w:lineRule="exact"/>
        <w:ind w:firstLine="640" w:firstLineChars="200"/>
        <w:jc w:val="both"/>
        <w:rPr>
          <w:rFonts w:ascii="仿宋_GB2312" w:hAnsi="Times New Roman" w:eastAsia="仿宋_GB2312"/>
          <w:color w:val="000000"/>
          <w:sz w:val="32"/>
          <w:szCs w:val="32"/>
        </w:rPr>
      </w:pPr>
      <w:r>
        <w:rPr>
          <w:rFonts w:hint="eastAsia" w:ascii="仿宋_GB2312" w:hAnsi="Times New Roman" w:eastAsia="仿宋_GB2312"/>
          <w:color w:val="000000"/>
          <w:sz w:val="32"/>
          <w:szCs w:val="32"/>
        </w:rPr>
        <w:t>一是加强对基层医疗卫生机构的设备配备和升级改造。加快推进乡镇卫生院和社区卫生服务中心发热诊室（门诊）建设进度，2023年3月底前力争覆盖率提高到90%左右。完善设备配置，包括氧疗设备、便携式肺功能仪器、指夹式脉搏血氧仪、可穿戴健康监测设备等；升级电子健康档案信息系统，鼓励有条件的为人口密集的社区或偏远的乡村配备智慧健康驿站。</w:t>
      </w:r>
    </w:p>
    <w:p>
      <w:pPr>
        <w:pStyle w:val="15"/>
        <w:spacing w:before="0" w:beforeAutospacing="0" w:after="0" w:afterAutospacing="0" w:line="560" w:lineRule="exact"/>
        <w:ind w:firstLine="640" w:firstLineChars="200"/>
        <w:jc w:val="both"/>
        <w:rPr>
          <w:rFonts w:ascii="仿宋_GB2312" w:hAnsi="Times New Roman" w:eastAsia="仿宋_GB2312"/>
          <w:color w:val="000000"/>
          <w:sz w:val="32"/>
          <w:szCs w:val="32"/>
        </w:rPr>
      </w:pPr>
      <w:r>
        <w:rPr>
          <w:rFonts w:hint="eastAsia" w:ascii="仿宋_GB2312" w:hAnsi="Times New Roman" w:eastAsia="仿宋_GB2312"/>
          <w:color w:val="000000"/>
          <w:sz w:val="32"/>
          <w:szCs w:val="32"/>
        </w:rPr>
        <w:t>二是切实增加基层医疗卫生机构人力。要建立城市二、三级医院相关科室医师到基层出诊的制度，医联体（城市医疗集团或县域医共体，下同）的牵头医院应派出医师下沉基层。根据服务人口和服务量增加，适时加强对基层医疗卫生机构人员配备的力度，可临时返聘近五年内退休医务人员以及在其他岗位的卫生专业技术人员充实到基层医疗卫生机构。允许乡镇卫生院和社区卫生服务中心聘用人员或者通过第三方服务的方式，将非医疗卫生服务的任务交由其承担。要建立完善远程医疗服务网络，通过远程医疗的方式将二、三级医院的优质医疗服务向基层下沉延伸。</w:t>
      </w:r>
    </w:p>
    <w:p>
      <w:pPr>
        <w:pStyle w:val="15"/>
        <w:spacing w:before="0" w:beforeAutospacing="0" w:after="0" w:afterAutospacing="0" w:line="560" w:lineRule="exact"/>
        <w:ind w:firstLine="640" w:firstLineChars="200"/>
        <w:jc w:val="both"/>
        <w:rPr>
          <w:rFonts w:ascii="仿宋_GB2312" w:hAnsi="Times New Roman" w:eastAsia="仿宋_GB2312"/>
          <w:color w:val="000000"/>
          <w:sz w:val="32"/>
          <w:szCs w:val="32"/>
        </w:rPr>
      </w:pPr>
      <w:r>
        <w:rPr>
          <w:rFonts w:hint="eastAsia" w:ascii="仿宋_GB2312" w:hAnsi="Times New Roman" w:eastAsia="仿宋_GB2312"/>
          <w:color w:val="000000"/>
          <w:sz w:val="32"/>
          <w:szCs w:val="32"/>
        </w:rPr>
        <w:t>三是做实重点人群家庭医生签约服务。加快提升65岁以上老年人签约服务覆盖面，对合并基础疾病的老年人实现签约服务全覆盖，按照分类分级原则，做好健康管理和健康监测。加强家庭医生与签约老年人的联系，确保其有就医需求时，本人或其家属能及时联系到家庭医生。</w:t>
      </w:r>
    </w:p>
    <w:p>
      <w:pPr>
        <w:pStyle w:val="15"/>
        <w:spacing w:before="0" w:beforeAutospacing="0" w:after="0" w:afterAutospacing="0" w:line="560" w:lineRule="exact"/>
        <w:ind w:firstLine="640" w:firstLineChars="200"/>
        <w:jc w:val="both"/>
        <w:rPr>
          <w:rFonts w:ascii="仿宋_GB2312" w:hAnsi="Times New Roman" w:eastAsia="仿宋_GB2312"/>
          <w:color w:val="000000"/>
          <w:sz w:val="32"/>
          <w:szCs w:val="32"/>
        </w:rPr>
      </w:pPr>
      <w:r>
        <w:rPr>
          <w:rStyle w:val="19"/>
          <w:rFonts w:hint="eastAsia" w:ascii="楷体_GB2312" w:hAnsi="Times New Roman" w:eastAsia="楷体_GB2312"/>
          <w:b w:val="0"/>
          <w:color w:val="000000"/>
          <w:sz w:val="32"/>
          <w:szCs w:val="32"/>
        </w:rPr>
        <w:t>（四）落实社区（村）对重点人群的管理责任。</w:t>
      </w:r>
      <w:r>
        <w:rPr>
          <w:rFonts w:hint="eastAsia" w:ascii="仿宋_GB2312" w:hAnsi="Times New Roman" w:eastAsia="仿宋_GB2312"/>
          <w:color w:val="000000"/>
          <w:sz w:val="32"/>
          <w:szCs w:val="32"/>
        </w:rPr>
        <w:t>充分发挥基层政府和居（村）民委员会及其公共卫生委员会的积极作用，协助做好重点人群的日常宣传教育和服务工作。建立社区（村）与医疗机构、药房之间的直通热线，城市以街道、农村以乡镇为单位，配置或更新医疗用车，指导协助转诊。</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Style w:val="19"/>
          <w:rFonts w:hint="eastAsia" w:ascii="楷体_GB2312" w:hAnsi="Times New Roman" w:eastAsia="楷体_GB2312"/>
          <w:b w:val="0"/>
          <w:color w:val="000000"/>
          <w:sz w:val="32"/>
          <w:szCs w:val="32"/>
        </w:rPr>
        <w:t>（五）加强农村地区重点人群健康管理工作。</w:t>
      </w:r>
      <w:r>
        <w:rPr>
          <w:rFonts w:hint="eastAsia" w:ascii="仿宋_GB2312" w:hAnsi="Times New Roman" w:eastAsia="仿宋_GB2312"/>
          <w:color w:val="000000"/>
          <w:sz w:val="32"/>
          <w:szCs w:val="32"/>
        </w:rPr>
        <w:t>各地要加强对农村地区重点人群健康调查和管理工作的指导、支持和调度。以地市级为单元确定定点（亚定点）医疗机构，明确乡镇卫生院向定点医疗机构转诊的流程和路径。县域医共体牵头医院落实专人或专门团队对辖区乡镇卫生院、村卫生室开展重点人群服务提供人力、技术、设备等必要的支持。村民委员会及其公共卫生委员会与村卫生室做好协调联动，动员社会组织、社会工作者、志愿者、社会慈善资源为辖区的重点人群协助购药送药、协助就医转诊等；引导村民提高个人健康意识，做好自我防护。</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Style w:val="19"/>
          <w:rFonts w:hint="eastAsia" w:ascii="楷体_GB2312" w:hAnsi="Times New Roman" w:eastAsia="楷体_GB2312"/>
          <w:b w:val="0"/>
          <w:color w:val="000000"/>
          <w:sz w:val="32"/>
          <w:szCs w:val="32"/>
        </w:rPr>
        <w:t>（六）加强对养老院、儿童福利机构等重点机构的管理。</w:t>
      </w:r>
      <w:r>
        <w:rPr>
          <w:rFonts w:hint="eastAsia" w:ascii="仿宋_GB2312" w:hAnsi="Times New Roman" w:eastAsia="仿宋_GB2312"/>
          <w:color w:val="000000"/>
          <w:sz w:val="32"/>
          <w:szCs w:val="32"/>
        </w:rPr>
        <w:t>各地要指导养老院、儿童福利机构参照本方案制订院内分类分级服务方案，建立与辖区医疗卫生机构、药房的协作机制，明确转诊流程。养老院、儿童福利机构内设医疗机构或与其建立协作关系的医疗卫生机构医务人员为重点人员提供分类分级服务。养老院、儿童福利机构应动态储备中药、解热和止咳等对症治疗药物、抗原检测试剂。</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Style w:val="19"/>
          <w:rFonts w:hint="eastAsia" w:ascii="楷体_GB2312" w:hAnsi="Times New Roman" w:eastAsia="楷体_GB2312"/>
          <w:b w:val="0"/>
          <w:color w:val="000000"/>
          <w:sz w:val="32"/>
          <w:szCs w:val="32"/>
        </w:rPr>
        <w:t>（七）发挥医联体的作用。</w:t>
      </w:r>
      <w:r>
        <w:rPr>
          <w:rFonts w:hint="eastAsia" w:ascii="仿宋_GB2312" w:hAnsi="Times New Roman" w:eastAsia="仿宋_GB2312"/>
          <w:color w:val="000000"/>
          <w:sz w:val="32"/>
          <w:szCs w:val="32"/>
        </w:rPr>
        <w:t>积极发挥医联体医共体牵头医院作用，加强对其成员单位发热诊室（门诊）建设运行的技术指导。统筹医联体内人员调配，下派专业力量，指导支持基层医疗卫生机构发热诊室（门诊）日常诊疗工作。畅通双向转诊通道，做好分级诊疗衔接，牵头医院要组建由呼吸科、儿科、重症科、中医科等相关科室组成的专科救治团队，加强对基层的技术支持、培训、指导和质控。</w:t>
      </w:r>
    </w:p>
    <w:p>
      <w:pPr>
        <w:pStyle w:val="15"/>
        <w:spacing w:before="0" w:beforeAutospacing="0" w:after="0" w:afterAutospacing="0" w:line="560" w:lineRule="exact"/>
        <w:ind w:firstLine="640" w:firstLineChars="200"/>
        <w:rPr>
          <w:rFonts w:ascii="仿宋_GB2312" w:hAnsi="Times New Roman" w:eastAsia="仿宋_GB2312"/>
          <w:color w:val="000000"/>
          <w:sz w:val="32"/>
          <w:szCs w:val="32"/>
        </w:rPr>
      </w:pPr>
      <w:r>
        <w:rPr>
          <w:rStyle w:val="19"/>
          <w:rFonts w:hint="eastAsia" w:ascii="楷体_GB2312" w:hAnsi="Times New Roman" w:eastAsia="楷体_GB2312"/>
          <w:b w:val="0"/>
          <w:color w:val="000000"/>
          <w:sz w:val="32"/>
          <w:szCs w:val="32"/>
        </w:rPr>
        <w:t>（八）鼓励社会力量参与。</w:t>
      </w:r>
      <w:r>
        <w:rPr>
          <w:rFonts w:hint="eastAsia" w:ascii="仿宋_GB2312" w:hAnsi="Times New Roman" w:eastAsia="仿宋_GB2312"/>
          <w:color w:val="000000"/>
          <w:sz w:val="32"/>
          <w:szCs w:val="32"/>
        </w:rPr>
        <w:t>统筹各方力量，鼓励引导社会力量参与到基层医疗服务保障中，壮大医疗服务资源，满足群众医疗卫生服务需求。</w:t>
      </w:r>
    </w:p>
    <w:p>
      <w:pPr>
        <w:overflowPunct w:val="0"/>
        <w:topLinePunct/>
        <w:spacing w:line="560" w:lineRule="exact"/>
        <w:rPr>
          <w:rFonts w:ascii="仿宋_GB2312" w:hAnsi="仿宋_GB2312" w:eastAsia="仿宋_GB2312" w:cs="仿宋_GB2312"/>
          <w:sz w:val="32"/>
          <w:szCs w:val="32"/>
        </w:rPr>
      </w:pPr>
    </w:p>
    <w:p>
      <w:pPr>
        <w:overflowPunct w:val="0"/>
        <w:topLinePunct/>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新冠病毒感染者居家治疗指南</w:t>
      </w:r>
    </w:p>
    <w:p>
      <w:pPr>
        <w:spacing w:line="560" w:lineRule="exact"/>
        <w:jc w:val="center"/>
        <w:rPr>
          <w:rFonts w:ascii="方正小标宋简体" w:hAnsi="方正小标宋简体" w:eastAsia="方正小标宋简体" w:cs="方正小标宋简体"/>
          <w:sz w:val="44"/>
          <w:szCs w:val="44"/>
        </w:rPr>
      </w:pPr>
    </w:p>
    <w:p>
      <w:pPr>
        <w:spacing w:line="560" w:lineRule="exact"/>
        <w:ind w:firstLine="640" w:firstLineChars="200"/>
        <w:rPr>
          <w:rFonts w:ascii="方正黑体_GBK" w:hAnsi="黑体" w:eastAsia="方正黑体_GBK" w:cs="黑体"/>
          <w:sz w:val="32"/>
          <w:szCs w:val="32"/>
        </w:rPr>
      </w:pPr>
      <w:r>
        <w:rPr>
          <w:rFonts w:hint="eastAsia" w:ascii="方正黑体_GBK" w:hAnsi="黑体" w:eastAsia="方正黑体_GBK" w:cs="黑体"/>
          <w:sz w:val="32"/>
          <w:szCs w:val="32"/>
        </w:rPr>
        <w:t>一、适用对象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(一)未合并严重基础疾病的无症状或症状轻微的感染者。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(二)基础疾病处于稳定期，无严重心肝肺肾脑等重要脏器功能不全等需要住院治疗情况的感染者。</w:t>
      </w:r>
    </w:p>
    <w:p>
      <w:pPr>
        <w:spacing w:line="560" w:lineRule="exact"/>
        <w:ind w:firstLine="640" w:firstLineChars="200"/>
        <w:rPr>
          <w:rFonts w:ascii="方正黑体_GBK" w:hAnsi="黑体" w:eastAsia="方正黑体_GBK" w:cs="黑体"/>
          <w:sz w:val="32"/>
          <w:szCs w:val="32"/>
        </w:rPr>
      </w:pPr>
      <w:r>
        <w:rPr>
          <w:rFonts w:hint="eastAsia" w:ascii="方正黑体_GBK" w:hAnsi="黑体" w:eastAsia="方正黑体_GBK" w:cs="黑体"/>
          <w:sz w:val="32"/>
          <w:szCs w:val="32"/>
        </w:rPr>
        <w:t>二、家居环境要求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(一)在条件允许情况下，居家治疗人员尽可能在家庭相对独立的房间居住，使用单独卫生间。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(二)家庭应当配备体温计(感染者专用)、纸巾、口罩、 一次性手套、消毒剂等个人防护用品和消毒产品及带盖的垃圾桶。</w:t>
      </w:r>
    </w:p>
    <w:p>
      <w:pPr>
        <w:spacing w:line="560" w:lineRule="exact"/>
        <w:ind w:firstLine="640" w:firstLineChars="200"/>
        <w:rPr>
          <w:rFonts w:ascii="方正黑体_GBK" w:hAnsi="黑体" w:eastAsia="方正黑体_GBK" w:cs="黑体"/>
          <w:sz w:val="32"/>
          <w:szCs w:val="32"/>
        </w:rPr>
      </w:pPr>
      <w:r>
        <w:rPr>
          <w:rFonts w:hint="eastAsia" w:ascii="方正黑体_GBK" w:hAnsi="黑体" w:eastAsia="方正黑体_GBK" w:cs="黑体"/>
          <w:sz w:val="32"/>
          <w:szCs w:val="32"/>
        </w:rPr>
        <w:t>三、管理要求</w:t>
      </w:r>
    </w:p>
    <w:p>
      <w:p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(一)社区(村)和基层医疗卫生机构工作要求。</w:t>
      </w:r>
    </w:p>
    <w:p>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楷体"/>
          <w:b/>
          <w:sz w:val="32"/>
          <w:szCs w:val="32"/>
        </w:rPr>
        <w:t>1.建立联系。</w:t>
      </w:r>
      <w:r>
        <w:rPr>
          <w:rFonts w:hint="eastAsia" w:ascii="仿宋_GB2312" w:hAnsi="仿宋_GB2312" w:eastAsia="仿宋_GB2312" w:cs="仿宋_GB2312"/>
          <w:sz w:val="32"/>
          <w:szCs w:val="32"/>
        </w:rPr>
        <w:t>发挥各地疫情防控社区(基层)工作机制的组织、动员、引导、服务、保障、管理重要作用。基层医疗卫生机构公开咨询电话，告知居家治疗注意事项，并将居家治疗人员纳入网格化管理。对于空巢独居老年人、有基础疾病患者、孕产妇、血液透析患者等居家治疗特殊人员建立台账，做好必要的医疗服务保障。</w:t>
      </w:r>
    </w:p>
    <w:p>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楷体"/>
          <w:b/>
          <w:sz w:val="32"/>
          <w:szCs w:val="32"/>
        </w:rPr>
        <w:t>2.给予指导。</w:t>
      </w:r>
      <w:r>
        <w:rPr>
          <w:rFonts w:hint="eastAsia" w:ascii="仿宋_GB2312" w:hAnsi="仿宋_GB2312" w:eastAsia="仿宋_GB2312" w:cs="仿宋_GB2312"/>
          <w:sz w:val="32"/>
          <w:szCs w:val="32"/>
        </w:rPr>
        <w:t>居家治疗人员根据说明书规范进行抗原检测，必要时可请基层医疗卫生机构给予指导。基层医疗卫生机构对有需要的人员给与必要的对症治疗和口服药指导。</w:t>
      </w:r>
    </w:p>
    <w:p>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楷体"/>
          <w:b/>
          <w:sz w:val="32"/>
          <w:szCs w:val="32"/>
        </w:rPr>
        <w:t>3.协助就医。</w:t>
      </w:r>
      <w:r>
        <w:rPr>
          <w:rFonts w:hint="eastAsia" w:ascii="仿宋_GB2312" w:hAnsi="仿宋_GB2312" w:eastAsia="仿宋_GB2312" w:cs="仿宋_GB2312"/>
          <w:sz w:val="32"/>
          <w:szCs w:val="32"/>
        </w:rPr>
        <w:t>社区或基层医疗卫生机构收到居家治疗人员提出的协助安排外出就医需求后，要及时了解其主要病情，由基层医疗卫生机构指导急危重症患者做好应急处置，并协助尽快闭环转运至相关医院救治。要以县(市、区)为单位，建立上级医院与城乡社区的快速转运通道。</w:t>
      </w:r>
    </w:p>
    <w:p>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楷体"/>
          <w:b/>
          <w:sz w:val="32"/>
          <w:szCs w:val="32"/>
        </w:rPr>
        <w:t>4.心理援助。</w:t>
      </w:r>
      <w:r>
        <w:rPr>
          <w:rFonts w:hint="eastAsia" w:ascii="仿宋_GB2312" w:hAnsi="仿宋_GB2312" w:eastAsia="仿宋_GB2312" w:cs="仿宋_GB2312"/>
          <w:sz w:val="32"/>
          <w:szCs w:val="32"/>
        </w:rPr>
        <w:t>以地市为单位建立畅通心理咨询热线。基层医疗卫生机构和社区要将心理热线主动告知居家治疗人员，方便其寻求心理支持、心理疏导帮助。对于发现的心理或精神卫生问题较严重者，可向本地(市、县)精神卫生医疗机构报告，必要时予以转介。</w:t>
      </w:r>
    </w:p>
    <w:p>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楷体"/>
          <w:b/>
          <w:sz w:val="32"/>
          <w:szCs w:val="32"/>
        </w:rPr>
        <w:t>5.个人防护。</w:t>
      </w:r>
      <w:r>
        <w:rPr>
          <w:rFonts w:hint="eastAsia" w:ascii="仿宋_GB2312" w:hAnsi="仿宋_GB2312" w:eastAsia="仿宋_GB2312" w:cs="仿宋_GB2312"/>
          <w:sz w:val="32"/>
          <w:szCs w:val="32"/>
        </w:rPr>
        <w:t>与居家治疗人员接触时，应当做好自我防护，尽可能保持1米以上距离。</w:t>
      </w:r>
    </w:p>
    <w:p>
      <w:p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(二)居家治疗人员自我管理要求。</w:t>
      </w:r>
    </w:p>
    <w:p>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楷体"/>
          <w:b/>
          <w:sz w:val="32"/>
          <w:szCs w:val="32"/>
        </w:rPr>
        <w:t>1.健康监测和对症治疗。</w:t>
      </w:r>
      <w:r>
        <w:rPr>
          <w:rFonts w:hint="eastAsia" w:ascii="楷体" w:hAnsi="楷体" w:eastAsia="楷体" w:cs="楷体"/>
          <w:sz w:val="32"/>
          <w:szCs w:val="32"/>
        </w:rPr>
        <w:t xml:space="preserve"> </w:t>
      </w:r>
      <w:r>
        <w:rPr>
          <w:rFonts w:hint="eastAsia" w:ascii="仿宋_GB2312" w:hAnsi="仿宋_GB2312" w:eastAsia="仿宋_GB2312" w:cs="仿宋_GB2312"/>
          <w:sz w:val="32"/>
          <w:szCs w:val="32"/>
        </w:rPr>
        <w:t>居家治疗人员应当每天早、晚各进行1次体温测量和自我健康监测，如出现发热、咳嗽等症状，可进行对症处置或口服药治疗。有需要时也可联系基层医疗卫生机构医务人员或通过互联网医疗形式咨询相关医疗机构。无症状者无需药物治疗。居家治疗人员服药时，须按药品说明书服用，避免盲目使用抗菌药物。如患有基础疾病，在病情稳定时，无需改变正在使用的基础疾病治疗药物剂量。</w:t>
      </w:r>
    </w:p>
    <w:p>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楷体"/>
          <w:b/>
          <w:sz w:val="32"/>
          <w:szCs w:val="32"/>
        </w:rPr>
        <w:t>2.转诊治疗。</w:t>
      </w:r>
      <w:r>
        <w:rPr>
          <w:rFonts w:hint="eastAsia" w:ascii="仿宋_GB2312" w:hAnsi="仿宋_GB2312" w:eastAsia="仿宋_GB2312" w:cs="仿宋_GB2312"/>
          <w:sz w:val="32"/>
          <w:szCs w:val="32"/>
        </w:rPr>
        <w:t>如出现以下情况，可通过自驾车、120救护车等方式，转至相关医院进行治疗。</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(1)呼吸困难或气促。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(2)经药物治疗后体温仍持续高于38.5℃,超过3天。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(3)原有基础疾病明显加重且不能控制。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(4)儿童出现嗜睡、持续拒食、喂养困难、持续腹泻或呕吐等情况。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(5)孕妇出现头痛、头晕、心慌、憋气等症状，或出现腹痛、阴道出血或流液、胎动异常等情况。</w:t>
      </w:r>
    </w:p>
    <w:p>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楷体"/>
          <w:b/>
          <w:sz w:val="32"/>
          <w:szCs w:val="32"/>
        </w:rPr>
        <w:t>3.控制外出。</w:t>
      </w:r>
      <w:r>
        <w:rPr>
          <w:rFonts w:hint="eastAsia" w:ascii="仿宋_GB2312" w:hAnsi="仿宋_GB2312" w:eastAsia="仿宋_GB2312" w:cs="仿宋_GB2312"/>
          <w:sz w:val="32"/>
          <w:szCs w:val="32"/>
        </w:rPr>
        <w:t>居家治疗人员非必要不外出、不接受探访。 对因就医等确需外出人员，要全程做好个人防护，点对点到达医疗机构，就医后再点对点返回家中，尽可能不乘坐公共交通工具。</w:t>
      </w:r>
    </w:p>
    <w:p>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楷体"/>
          <w:b/>
          <w:sz w:val="32"/>
          <w:szCs w:val="32"/>
        </w:rPr>
        <w:t>4.个人防护。</w:t>
      </w:r>
      <w:r>
        <w:rPr>
          <w:rFonts w:hint="eastAsia" w:ascii="仿宋_GB2312" w:hAnsi="仿宋_GB2312" w:eastAsia="仿宋_GB2312" w:cs="仿宋_GB2312"/>
          <w:sz w:val="32"/>
          <w:szCs w:val="32"/>
        </w:rPr>
        <w:t>居家治疗人员要做好防护，尽量不与其他家庭成员接触。如居家治疗人员为哺乳期母亲，在做好个人防护的基础上可继续母乳喂养婴儿。</w:t>
      </w:r>
    </w:p>
    <w:p>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楷体"/>
          <w:b/>
          <w:sz w:val="32"/>
          <w:szCs w:val="32"/>
        </w:rPr>
        <w:t>5.抗原自测。</w:t>
      </w:r>
      <w:r>
        <w:rPr>
          <w:rFonts w:hint="eastAsia" w:ascii="仿宋_GB2312" w:hAnsi="仿宋_GB2312" w:eastAsia="仿宋_GB2312" w:cs="仿宋_GB2312"/>
          <w:sz w:val="32"/>
          <w:szCs w:val="32"/>
        </w:rPr>
        <w:t>居家治疗人员需根据相关防疫要求进行抗原自测和结果上报。</w:t>
      </w:r>
    </w:p>
    <w:p>
      <w:pPr>
        <w:spacing w:line="560" w:lineRule="exact"/>
        <w:ind w:firstLine="643" w:firstLineChars="200"/>
        <w:rPr>
          <w:rFonts w:ascii="仿宋_GB2312" w:hAnsi="楷体" w:eastAsia="仿宋_GB2312" w:cs="楷体"/>
          <w:b/>
          <w:sz w:val="32"/>
          <w:szCs w:val="32"/>
        </w:rPr>
      </w:pPr>
      <w:r>
        <w:rPr>
          <w:rFonts w:hint="eastAsia" w:ascii="仿宋_GB2312" w:hAnsi="楷体" w:eastAsia="仿宋_GB2312" w:cs="楷体"/>
          <w:b/>
          <w:sz w:val="32"/>
          <w:szCs w:val="32"/>
        </w:rPr>
        <w:t>6.感染防控要求。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(1)每天定时开门窗通风，保持室内空气流通，不具备自然通风条件的，可用排气扇等进行机械通风。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(2)做好卫生间、浴室等共享区域的通风和消毒。</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(3)准备食物、饭前便后、摘戴口罩等，应当洗手或手消毒。</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(4)咳嗽或打喷嚏时用纸巾遮盖口鼻或用手肘内侧遮挡口鼻，将用过的纸巾丢至垃圾桶。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(5)不与家庭内其他成员共用生活用品，餐具使用后应当清洗和消毒。</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(6)居家治疗人员日常可能接触的物品表面及其使用的毛巾、衣物、被罩等需及时清洁消毒，感染者个人物品单独放置。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(7)如家庭共用卫生间，居家治疗人员每次用完卫生间均应消毒；若居家治疗人员使用单独卫生间，可每天进行1次消毒。</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(8)用过的纸巾、口罩、一次性手套以及其他生活垃圾装入塑料袋，放置到专用垃圾桶。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(9)被唾液、痰液等污染的物品随时消毒。</w:t>
      </w:r>
    </w:p>
    <w:p>
      <w:pPr>
        <w:spacing w:line="560" w:lineRule="exact"/>
        <w:ind w:firstLine="640" w:firstLineChars="200"/>
        <w:rPr>
          <w:rFonts w:ascii="方正黑体_GBK" w:hAnsi="黑体" w:eastAsia="方正黑体_GBK" w:cs="黑体"/>
          <w:sz w:val="32"/>
          <w:szCs w:val="32"/>
        </w:rPr>
      </w:pPr>
      <w:r>
        <w:rPr>
          <w:rFonts w:hint="eastAsia" w:ascii="方正黑体_GBK" w:hAnsi="黑体" w:eastAsia="方正黑体_GBK" w:cs="黑体"/>
          <w:sz w:val="32"/>
          <w:szCs w:val="32"/>
        </w:rPr>
        <w:t>四、结束居家治疗的条件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如居家治疗人员症状明显好转或无明显症状，自测抗原阴性并且连续两次新冠病毒核酸检测Ct值&gt;35(两次检测间隔大于24小时),可结束居家治疗，恢复正常生活和外出。</w:t>
      </w:r>
    </w:p>
    <w:p>
      <w:pPr>
        <w:spacing w:line="560" w:lineRule="exact"/>
        <w:ind w:firstLine="640" w:firstLineChars="200"/>
        <w:rPr>
          <w:rFonts w:ascii="方正黑体_GBK" w:hAnsi="黑体" w:eastAsia="方正黑体_GBK" w:cs="黑体"/>
          <w:sz w:val="32"/>
          <w:szCs w:val="32"/>
        </w:rPr>
      </w:pPr>
      <w:r>
        <w:rPr>
          <w:rFonts w:hint="eastAsia" w:ascii="方正黑体_GBK" w:hAnsi="黑体" w:eastAsia="方正黑体_GBK" w:cs="黑体"/>
          <w:sz w:val="32"/>
          <w:szCs w:val="32"/>
        </w:rPr>
        <w:t>五、保障要求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各地疫情防控领导机制中负责社区(基层、农村)工作的牵头单位要充分发挥作用，切实担当负责。基层医疗卫生机构建立24小时值班制度，指定专人承担感染者居家治疗健康咨询工作。社区(村)安排做好核酸检测、垃圾清运、环境消杀等工作，并及时发现和解决问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要组织医疗机构，通过远程指导、互联网医疗等线上+线下相结合的方式，为居家人员提供康复指导支持和心理支持，基层医疗卫生机构通过互联网等多种方式加强对辖区居家康复人员的巡查指导和健康监测，二、三级医院要通过远程医疗的方式为基层医疗机构提供会诊指导。</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(三)各地要加强基层医疗卫生机构常用药品、抗原检测试剂、指夹式血氧仪等储备，切实满足居家治疗人员用药和健康监测需求。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(四)医疗机构要严格落实首诊负责制和急危重症抢救制度，不得以任何理由推诿或拒绝居家治疗的新冠病毒感染者特别是急危重症患者到医疗机构就诊。</w:t>
      </w:r>
    </w:p>
    <w:p>
      <w:pPr>
        <w:spacing w:line="560" w:lineRule="exact"/>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附件：1.新冠病毒感染者居家治疗常用药参考表</w:t>
      </w:r>
    </w:p>
    <w:p>
      <w:pPr>
        <w:tabs>
          <w:tab w:val="left" w:pos="312"/>
        </w:tabs>
        <w:spacing w:line="560" w:lineRule="exact"/>
        <w:ind w:left="1600"/>
        <w:rPr>
          <w:rFonts w:ascii="仿宋_GB2312" w:hAnsi="仿宋_GB2312" w:eastAsia="仿宋_GB2312" w:cs="仿宋_GB2312"/>
          <w:sz w:val="32"/>
          <w:szCs w:val="32"/>
        </w:rPr>
      </w:pPr>
      <w:r>
        <w:rPr>
          <w:rFonts w:hint="eastAsia" w:ascii="仿宋_GB2312" w:hAnsi="仿宋_GB2312" w:eastAsia="仿宋_GB2312" w:cs="仿宋_GB2312"/>
          <w:sz w:val="32"/>
          <w:szCs w:val="32"/>
        </w:rPr>
        <w:t>2.新冠病毒感染者居家治疗抗原检测指南</w:t>
      </w: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p>
      <w:pPr>
        <w:rPr>
          <w:rFonts w:ascii="方正黑体_GBK" w:eastAsia="方正黑体_GBK"/>
          <w:sz w:val="32"/>
          <w:szCs w:val="32"/>
        </w:rPr>
      </w:pPr>
    </w:p>
    <w:p>
      <w:pPr>
        <w:rPr>
          <w:rFonts w:ascii="方正黑体_GBK" w:eastAsia="方正黑体_GBK"/>
          <w:sz w:val="32"/>
          <w:szCs w:val="32"/>
        </w:rPr>
      </w:pPr>
      <w:r>
        <w:rPr>
          <w:rFonts w:hint="eastAsia" w:ascii="方正黑体_GBK" w:eastAsia="方正黑体_GBK"/>
          <w:sz w:val="32"/>
          <w:szCs w:val="32"/>
        </w:rPr>
        <w:t>附件1</w:t>
      </w:r>
    </w:p>
    <w:p>
      <w:pPr>
        <w:rPr>
          <w:rFonts w:ascii="方正黑体_GBK" w:eastAsia="方正黑体_GBK"/>
          <w:sz w:val="32"/>
          <w:szCs w:val="32"/>
        </w:rPr>
      </w:pPr>
    </w:p>
    <w:p>
      <w:pPr>
        <w:spacing w:before="73" w:line="219" w:lineRule="auto"/>
        <w:jc w:val="center"/>
        <w:rPr>
          <w:rFonts w:ascii="方正小标宋简体" w:hAnsi="仿宋_GB2312" w:eastAsia="方正小标宋简体" w:cs="仿宋_GB2312"/>
          <w:sz w:val="36"/>
          <w:szCs w:val="32"/>
        </w:rPr>
      </w:pPr>
      <w:r>
        <w:rPr>
          <w:rFonts w:hint="eastAsia" w:ascii="方正小标宋简体" w:hAnsi="仿宋_GB2312" w:eastAsia="方正小标宋简体" w:cs="仿宋_GB2312"/>
          <w:bCs/>
          <w:spacing w:val="-2"/>
          <w:sz w:val="36"/>
          <w:szCs w:val="32"/>
        </w:rPr>
        <w:t>新冠病毒感染者居家治疗常用药参考表</w:t>
      </w:r>
    </w:p>
    <w:p>
      <w:pPr>
        <w:spacing w:line="131" w:lineRule="exact"/>
        <w:rPr>
          <w:rFonts w:ascii="仿宋_GB2312" w:hAnsi="仿宋_GB2312" w:eastAsia="仿宋_GB2312" w:cs="仿宋_GB2312"/>
          <w:sz w:val="32"/>
          <w:szCs w:val="32"/>
        </w:rPr>
      </w:pPr>
    </w:p>
    <w:tbl>
      <w:tblPr>
        <w:tblStyle w:val="16"/>
        <w:tblW w:w="9640"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6"/>
        <w:gridCol w:w="5579"/>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2076" w:type="dxa"/>
            <w:shd w:val="clear" w:color="auto" w:fill="auto"/>
            <w:vAlign w:val="center"/>
          </w:tcPr>
          <w:p>
            <w:pPr>
              <w:jc w:val="center"/>
              <w:rPr>
                <w:rFonts w:ascii="方正黑体_GBK" w:eastAsia="方正黑体_GBK"/>
                <w:sz w:val="28"/>
                <w:szCs w:val="28"/>
              </w:rPr>
            </w:pPr>
            <w:r>
              <w:rPr>
                <w:rFonts w:hint="eastAsia" w:ascii="方正黑体_GBK" w:eastAsia="方正黑体_GBK"/>
                <w:sz w:val="28"/>
                <w:szCs w:val="28"/>
              </w:rPr>
              <w:t>症状</w:t>
            </w:r>
          </w:p>
        </w:tc>
        <w:tc>
          <w:tcPr>
            <w:tcW w:w="5579" w:type="dxa"/>
            <w:shd w:val="clear" w:color="auto" w:fill="auto"/>
            <w:vAlign w:val="center"/>
          </w:tcPr>
          <w:p>
            <w:pPr>
              <w:jc w:val="center"/>
              <w:rPr>
                <w:rFonts w:ascii="方正黑体_GBK" w:eastAsia="方正黑体_GBK"/>
                <w:sz w:val="28"/>
                <w:szCs w:val="28"/>
              </w:rPr>
            </w:pPr>
            <w:r>
              <w:rPr>
                <w:rFonts w:hint="eastAsia" w:ascii="方正黑体_GBK" w:eastAsia="方正黑体_GBK"/>
                <w:bCs/>
                <w:spacing w:val="8"/>
                <w:sz w:val="28"/>
                <w:szCs w:val="28"/>
              </w:rPr>
              <w:t>常用药物</w:t>
            </w:r>
          </w:p>
        </w:tc>
        <w:tc>
          <w:tcPr>
            <w:tcW w:w="1985" w:type="dxa"/>
            <w:shd w:val="clear" w:color="auto" w:fill="auto"/>
            <w:vAlign w:val="center"/>
          </w:tcPr>
          <w:p>
            <w:pPr>
              <w:spacing w:line="400" w:lineRule="exact"/>
              <w:jc w:val="center"/>
              <w:rPr>
                <w:rFonts w:ascii="方正黑体_GBK" w:hAnsi="仿宋_GB2312" w:eastAsia="方正黑体_GBK" w:cs="仿宋_GB2312"/>
                <w:b/>
                <w:sz w:val="28"/>
                <w:szCs w:val="28"/>
              </w:rPr>
            </w:pPr>
            <w:r>
              <w:rPr>
                <w:rFonts w:hint="eastAsia" w:ascii="方正黑体_GBK" w:hAnsi="仿宋_GB2312" w:eastAsia="方正黑体_GBK" w:cs="仿宋_GB2312"/>
                <w:b/>
                <w:bCs/>
                <w:spacing w:val="-5"/>
                <w:sz w:val="28"/>
                <w:szCs w:val="28"/>
              </w:rPr>
              <w:t>适用人群及用法、用量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4" w:hRule="atLeast"/>
        </w:trPr>
        <w:tc>
          <w:tcPr>
            <w:tcW w:w="2076" w:type="dxa"/>
            <w:shd w:val="clear" w:color="auto" w:fill="auto"/>
            <w:vAlign w:val="center"/>
          </w:tcPr>
          <w:p>
            <w:pPr>
              <w:jc w:val="center"/>
              <w:rPr>
                <w:rFonts w:ascii="仿宋_GB2312" w:eastAsia="仿宋_GB2312"/>
                <w:b/>
                <w:bCs/>
                <w:spacing w:val="-2"/>
                <w:sz w:val="28"/>
              </w:rPr>
            </w:pPr>
            <w:r>
              <w:rPr>
                <w:rFonts w:hint="eastAsia" w:ascii="仿宋_GB2312" w:eastAsia="仿宋_GB2312"/>
                <w:b/>
                <w:bCs/>
                <w:spacing w:val="-2"/>
                <w:sz w:val="28"/>
              </w:rPr>
              <w:t>发热</w:t>
            </w:r>
          </w:p>
        </w:tc>
        <w:tc>
          <w:tcPr>
            <w:tcW w:w="5579" w:type="dxa"/>
            <w:shd w:val="clear" w:color="auto" w:fill="auto"/>
            <w:vAlign w:val="center"/>
          </w:tcPr>
          <w:p>
            <w:pPr>
              <w:jc w:val="left"/>
              <w:rPr>
                <w:rFonts w:ascii="仿宋_GB2312" w:eastAsia="仿宋_GB2312"/>
                <w:sz w:val="28"/>
              </w:rPr>
            </w:pPr>
            <w:r>
              <w:rPr>
                <w:rFonts w:hint="eastAsia" w:ascii="仿宋_GB2312" w:eastAsia="仿宋_GB2312"/>
                <w:spacing w:val="-3"/>
                <w:sz w:val="28"/>
              </w:rPr>
              <w:t>对乙酰氨基酚、布洛芬、阿司匹林、金花清感颗粒、连花清瘟胶囊（颗粒）、宣肺败毒颗粒、清肺排毒颗粒、疏风解毒胶囊等</w:t>
            </w:r>
          </w:p>
        </w:tc>
        <w:tc>
          <w:tcPr>
            <w:tcW w:w="1985" w:type="dxa"/>
            <w:vMerge w:val="restart"/>
            <w:tcBorders>
              <w:bottom w:val="nil"/>
            </w:tcBorders>
            <w:shd w:val="clear" w:color="auto" w:fill="auto"/>
            <w:vAlign w:val="center"/>
          </w:tcPr>
          <w:p>
            <w:pPr>
              <w:rPr>
                <w:rFonts w:ascii="仿宋_GB2312" w:eastAsia="仿宋_GB2312"/>
              </w:rPr>
            </w:pPr>
            <w:r>
              <w:rPr>
                <w:rFonts w:hint="eastAsia" w:ascii="仿宋_GB2312" w:eastAsia="仿宋_GB2312"/>
                <w:sz w:val="28"/>
              </w:rPr>
              <w:t>须按药品说明书服用或咨询医生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2076" w:type="dxa"/>
            <w:shd w:val="clear" w:color="auto" w:fill="auto"/>
            <w:vAlign w:val="center"/>
          </w:tcPr>
          <w:p>
            <w:pPr>
              <w:jc w:val="center"/>
              <w:rPr>
                <w:rFonts w:ascii="仿宋_GB2312" w:eastAsia="仿宋_GB2312"/>
                <w:b/>
                <w:sz w:val="28"/>
              </w:rPr>
            </w:pPr>
            <w:r>
              <w:rPr>
                <w:rFonts w:hint="eastAsia" w:ascii="仿宋_GB2312" w:eastAsia="仿宋_GB2312"/>
                <w:b/>
                <w:bCs/>
                <w:spacing w:val="-2"/>
                <w:sz w:val="28"/>
              </w:rPr>
              <w:t>咽干咽痛</w:t>
            </w:r>
          </w:p>
        </w:tc>
        <w:tc>
          <w:tcPr>
            <w:tcW w:w="5579" w:type="dxa"/>
            <w:shd w:val="clear" w:color="auto" w:fill="auto"/>
            <w:vAlign w:val="center"/>
          </w:tcPr>
          <w:p>
            <w:pPr>
              <w:jc w:val="left"/>
              <w:rPr>
                <w:rFonts w:ascii="仿宋_GB2312" w:eastAsia="仿宋_GB2312"/>
                <w:sz w:val="28"/>
              </w:rPr>
            </w:pPr>
            <w:r>
              <w:rPr>
                <w:rFonts w:hint="eastAsia" w:ascii="仿宋_GB2312" w:eastAsia="仿宋_GB2312"/>
                <w:spacing w:val="3"/>
                <w:sz w:val="28"/>
              </w:rPr>
              <w:t>地喹氯铵、六神丸、清咽滴丸、疏风解毒胶囊等</w:t>
            </w:r>
          </w:p>
        </w:tc>
        <w:tc>
          <w:tcPr>
            <w:tcW w:w="1985" w:type="dxa"/>
            <w:vMerge w:val="continue"/>
            <w:tcBorders>
              <w:top w:val="nil"/>
              <w:bottom w:val="nil"/>
            </w:tcBorders>
            <w:shd w:val="clear" w:color="auto" w:fill="auto"/>
            <w:vAlign w:val="center"/>
          </w:tcPr>
          <w:p>
            <w:pPr>
              <w:jc w:val="center"/>
              <w:rPr>
                <w:rFonts w:ascii="仿宋_GB2312" w:hAnsi="仿宋_GB2312" w:eastAsia="仿宋_GB2312" w:cs="仿宋_GB2312"/>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2076" w:type="dxa"/>
            <w:shd w:val="clear" w:color="auto" w:fill="auto"/>
            <w:vAlign w:val="center"/>
          </w:tcPr>
          <w:p>
            <w:pPr>
              <w:jc w:val="center"/>
              <w:rPr>
                <w:rFonts w:ascii="仿宋_GB2312" w:eastAsia="仿宋_GB2312"/>
                <w:b/>
                <w:sz w:val="28"/>
              </w:rPr>
            </w:pPr>
            <w:r>
              <w:rPr>
                <w:rFonts w:hint="eastAsia" w:ascii="仿宋_GB2312" w:eastAsia="仿宋_GB2312"/>
                <w:b/>
                <w:bCs/>
                <w:spacing w:val="-2"/>
                <w:sz w:val="28"/>
              </w:rPr>
              <w:t>咳嗽咳痰</w:t>
            </w:r>
          </w:p>
        </w:tc>
        <w:tc>
          <w:tcPr>
            <w:tcW w:w="5579" w:type="dxa"/>
            <w:shd w:val="clear" w:color="auto" w:fill="auto"/>
            <w:vAlign w:val="center"/>
          </w:tcPr>
          <w:p>
            <w:pPr>
              <w:jc w:val="left"/>
              <w:rPr>
                <w:rFonts w:ascii="仿宋_GB2312" w:eastAsia="仿宋_GB2312"/>
                <w:sz w:val="28"/>
              </w:rPr>
            </w:pPr>
            <w:r>
              <w:rPr>
                <w:rFonts w:hint="eastAsia" w:ascii="仿宋_GB2312" w:eastAsia="仿宋_GB2312"/>
                <w:spacing w:val="3"/>
                <w:sz w:val="28"/>
              </w:rPr>
              <w:t>溴已新、氨溴索、愈创甘油醚、乙酰半胱氨基酸等</w:t>
            </w:r>
          </w:p>
        </w:tc>
        <w:tc>
          <w:tcPr>
            <w:tcW w:w="1985" w:type="dxa"/>
            <w:vMerge w:val="continue"/>
            <w:tcBorders>
              <w:top w:val="nil"/>
              <w:bottom w:val="nil"/>
            </w:tcBorders>
            <w:shd w:val="clear" w:color="auto" w:fill="auto"/>
            <w:vAlign w:val="center"/>
          </w:tcPr>
          <w:p>
            <w:pPr>
              <w:jc w:val="center"/>
              <w:rPr>
                <w:rFonts w:ascii="仿宋_GB2312" w:hAnsi="仿宋_GB2312" w:eastAsia="仿宋_GB2312" w:cs="仿宋_GB2312"/>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2076" w:type="dxa"/>
            <w:shd w:val="clear" w:color="auto" w:fill="auto"/>
            <w:vAlign w:val="center"/>
          </w:tcPr>
          <w:p>
            <w:pPr>
              <w:jc w:val="center"/>
              <w:rPr>
                <w:rFonts w:ascii="仿宋_GB2312" w:eastAsia="仿宋_GB2312"/>
                <w:b/>
                <w:sz w:val="28"/>
              </w:rPr>
            </w:pPr>
            <w:r>
              <w:rPr>
                <w:rFonts w:hint="eastAsia" w:ascii="仿宋_GB2312" w:eastAsia="仿宋_GB2312"/>
                <w:b/>
                <w:bCs/>
                <w:spacing w:val="-2"/>
                <w:sz w:val="28"/>
              </w:rPr>
              <w:t>干咳无痰</w:t>
            </w:r>
          </w:p>
        </w:tc>
        <w:tc>
          <w:tcPr>
            <w:tcW w:w="5579" w:type="dxa"/>
            <w:shd w:val="clear" w:color="auto" w:fill="auto"/>
            <w:vAlign w:val="center"/>
          </w:tcPr>
          <w:p>
            <w:pPr>
              <w:jc w:val="left"/>
              <w:rPr>
                <w:rFonts w:ascii="仿宋_GB2312" w:eastAsia="仿宋_GB2312"/>
                <w:sz w:val="28"/>
              </w:rPr>
            </w:pPr>
            <w:r>
              <w:rPr>
                <w:rFonts w:hint="eastAsia" w:ascii="仿宋_GB2312" w:eastAsia="仿宋_GB2312"/>
                <w:spacing w:val="3"/>
                <w:sz w:val="28"/>
              </w:rPr>
              <w:t>福尔可定、右美沙芬等</w:t>
            </w:r>
          </w:p>
        </w:tc>
        <w:tc>
          <w:tcPr>
            <w:tcW w:w="1985" w:type="dxa"/>
            <w:vMerge w:val="continue"/>
            <w:tcBorders>
              <w:top w:val="nil"/>
              <w:bottom w:val="nil"/>
            </w:tcBorders>
            <w:shd w:val="clear" w:color="auto" w:fill="auto"/>
            <w:vAlign w:val="center"/>
          </w:tcPr>
          <w:p>
            <w:pPr>
              <w:jc w:val="center"/>
              <w:rPr>
                <w:rFonts w:ascii="仿宋_GB2312" w:hAnsi="仿宋_GB2312" w:eastAsia="仿宋_GB2312" w:cs="仿宋_GB2312"/>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2076" w:type="dxa"/>
            <w:shd w:val="clear" w:color="auto" w:fill="auto"/>
            <w:vAlign w:val="center"/>
          </w:tcPr>
          <w:p>
            <w:pPr>
              <w:jc w:val="center"/>
              <w:rPr>
                <w:rFonts w:ascii="仿宋_GB2312" w:eastAsia="仿宋_GB2312"/>
                <w:b/>
                <w:bCs/>
                <w:spacing w:val="-2"/>
                <w:sz w:val="28"/>
              </w:rPr>
            </w:pPr>
            <w:r>
              <w:rPr>
                <w:rFonts w:hint="eastAsia" w:ascii="仿宋_GB2312" w:eastAsia="仿宋_GB2312"/>
                <w:b/>
                <w:bCs/>
                <w:spacing w:val="-2"/>
                <w:sz w:val="28"/>
              </w:rPr>
              <w:t>流鼻涕</w:t>
            </w:r>
          </w:p>
        </w:tc>
        <w:tc>
          <w:tcPr>
            <w:tcW w:w="5579" w:type="dxa"/>
            <w:shd w:val="clear" w:color="auto" w:fill="auto"/>
            <w:vAlign w:val="center"/>
          </w:tcPr>
          <w:p>
            <w:pPr>
              <w:jc w:val="left"/>
              <w:rPr>
                <w:rFonts w:ascii="仿宋_GB2312" w:eastAsia="仿宋_GB2312"/>
                <w:sz w:val="28"/>
              </w:rPr>
            </w:pPr>
            <w:r>
              <w:rPr>
                <w:rFonts w:hint="eastAsia" w:ascii="仿宋_GB2312" w:eastAsia="仿宋_GB2312"/>
                <w:spacing w:val="3"/>
                <w:sz w:val="28"/>
              </w:rPr>
              <w:t>氯苯那敏、氯雷他定、西替利嗪等</w:t>
            </w:r>
          </w:p>
        </w:tc>
        <w:tc>
          <w:tcPr>
            <w:tcW w:w="1985" w:type="dxa"/>
            <w:vMerge w:val="continue"/>
            <w:tcBorders>
              <w:top w:val="nil"/>
              <w:bottom w:val="nil"/>
            </w:tcBorders>
            <w:shd w:val="clear" w:color="auto" w:fill="auto"/>
            <w:vAlign w:val="center"/>
          </w:tcPr>
          <w:p>
            <w:pPr>
              <w:jc w:val="center"/>
              <w:rPr>
                <w:rFonts w:ascii="仿宋_GB2312" w:hAnsi="仿宋_GB2312" w:eastAsia="仿宋_GB2312" w:cs="仿宋_GB2312"/>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2076" w:type="dxa"/>
            <w:shd w:val="clear" w:color="auto" w:fill="auto"/>
            <w:vAlign w:val="center"/>
          </w:tcPr>
          <w:p>
            <w:pPr>
              <w:jc w:val="center"/>
              <w:rPr>
                <w:rFonts w:ascii="仿宋_GB2312" w:eastAsia="仿宋_GB2312"/>
                <w:b/>
                <w:bCs/>
                <w:spacing w:val="-2"/>
                <w:sz w:val="28"/>
              </w:rPr>
            </w:pPr>
            <w:r>
              <w:rPr>
                <w:rFonts w:hint="eastAsia" w:ascii="仿宋_GB2312" w:eastAsia="仿宋_GB2312"/>
                <w:b/>
                <w:bCs/>
                <w:spacing w:val="-2"/>
                <w:sz w:val="28"/>
              </w:rPr>
              <w:t>鼻塞</w:t>
            </w:r>
          </w:p>
        </w:tc>
        <w:tc>
          <w:tcPr>
            <w:tcW w:w="5579" w:type="dxa"/>
            <w:shd w:val="clear" w:color="auto" w:fill="auto"/>
            <w:vAlign w:val="center"/>
          </w:tcPr>
          <w:p>
            <w:pPr>
              <w:jc w:val="left"/>
              <w:rPr>
                <w:rFonts w:ascii="仿宋_GB2312" w:eastAsia="仿宋_GB2312"/>
                <w:sz w:val="28"/>
              </w:rPr>
            </w:pPr>
            <w:r>
              <w:rPr>
                <w:rFonts w:hint="eastAsia" w:ascii="仿宋_GB2312" w:eastAsia="仿宋_GB2312"/>
                <w:spacing w:val="3"/>
                <w:sz w:val="28"/>
              </w:rPr>
              <w:t>赛洛唑啉滴鼻剂等</w:t>
            </w:r>
          </w:p>
        </w:tc>
        <w:tc>
          <w:tcPr>
            <w:tcW w:w="1985" w:type="dxa"/>
            <w:vMerge w:val="continue"/>
            <w:tcBorders>
              <w:top w:val="nil"/>
              <w:bottom w:val="nil"/>
            </w:tcBorders>
            <w:shd w:val="clear" w:color="auto" w:fill="auto"/>
            <w:vAlign w:val="center"/>
          </w:tcPr>
          <w:p>
            <w:pPr>
              <w:jc w:val="center"/>
              <w:rPr>
                <w:rFonts w:ascii="仿宋_GB2312" w:hAnsi="仿宋_GB2312" w:eastAsia="仿宋_GB2312" w:cs="仿宋_GB2312"/>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2076" w:type="dxa"/>
            <w:shd w:val="clear" w:color="auto" w:fill="auto"/>
            <w:vAlign w:val="center"/>
          </w:tcPr>
          <w:p>
            <w:pPr>
              <w:jc w:val="center"/>
              <w:rPr>
                <w:rFonts w:ascii="仿宋_GB2312" w:eastAsia="仿宋_GB2312"/>
                <w:b/>
                <w:bCs/>
                <w:spacing w:val="-2"/>
                <w:sz w:val="28"/>
              </w:rPr>
            </w:pPr>
            <w:r>
              <w:rPr>
                <w:rFonts w:hint="eastAsia" w:ascii="仿宋_GB2312" w:eastAsia="仿宋_GB2312"/>
                <w:b/>
                <w:bCs/>
                <w:spacing w:val="-2"/>
                <w:sz w:val="28"/>
              </w:rPr>
              <w:t>恶心/呕吐</w:t>
            </w:r>
          </w:p>
        </w:tc>
        <w:tc>
          <w:tcPr>
            <w:tcW w:w="5579" w:type="dxa"/>
            <w:shd w:val="clear" w:color="auto" w:fill="auto"/>
            <w:vAlign w:val="center"/>
          </w:tcPr>
          <w:p>
            <w:pPr>
              <w:jc w:val="left"/>
              <w:rPr>
                <w:rFonts w:ascii="仿宋_GB2312" w:eastAsia="仿宋_GB2312"/>
                <w:sz w:val="28"/>
              </w:rPr>
            </w:pPr>
            <w:r>
              <w:rPr>
                <w:rFonts w:hint="eastAsia" w:ascii="仿宋_GB2312" w:eastAsia="仿宋_GB2312"/>
                <w:spacing w:val="3"/>
                <w:sz w:val="28"/>
              </w:rPr>
              <w:t>桂利嗪、藿香正气水/胶囊等</w:t>
            </w:r>
          </w:p>
        </w:tc>
        <w:tc>
          <w:tcPr>
            <w:tcW w:w="1985" w:type="dxa"/>
            <w:vMerge w:val="continue"/>
            <w:tcBorders>
              <w:top w:val="nil"/>
            </w:tcBorders>
            <w:shd w:val="clear" w:color="auto" w:fill="auto"/>
            <w:vAlign w:val="center"/>
          </w:tcPr>
          <w:p>
            <w:pPr>
              <w:jc w:val="center"/>
              <w:rPr>
                <w:rFonts w:ascii="仿宋_GB2312" w:hAnsi="仿宋_GB2312" w:eastAsia="仿宋_GB2312" w:cs="仿宋_GB2312"/>
                <w:sz w:val="30"/>
                <w:szCs w:val="30"/>
              </w:rPr>
            </w:pPr>
          </w:p>
        </w:tc>
      </w:tr>
    </w:tbl>
    <w:p>
      <w:pPr>
        <w:pStyle w:val="2"/>
        <w:ind w:firstLine="0"/>
      </w:pPr>
    </w:p>
    <w:p>
      <w:pPr>
        <w:pStyle w:val="2"/>
        <w:ind w:firstLine="0"/>
      </w:pPr>
    </w:p>
    <w:p>
      <w:pPr>
        <w:pStyle w:val="2"/>
        <w:ind w:firstLine="0"/>
      </w:pPr>
    </w:p>
    <w:p>
      <w:pPr>
        <w:pStyle w:val="2"/>
        <w:ind w:firstLine="0"/>
      </w:pPr>
    </w:p>
    <w:p>
      <w:pPr>
        <w:pStyle w:val="2"/>
        <w:ind w:firstLine="0"/>
      </w:pPr>
    </w:p>
    <w:p>
      <w:pPr>
        <w:spacing w:line="560" w:lineRule="exact"/>
        <w:rPr>
          <w:rFonts w:ascii="方正黑体_GBK" w:eastAsia="方正黑体_GBK"/>
          <w:sz w:val="32"/>
          <w:szCs w:val="32"/>
        </w:rPr>
      </w:pPr>
    </w:p>
    <w:p>
      <w:pPr>
        <w:spacing w:line="560" w:lineRule="exact"/>
        <w:rPr>
          <w:rFonts w:ascii="方正黑体_GBK" w:eastAsia="方正黑体_GBK"/>
          <w:sz w:val="32"/>
          <w:szCs w:val="32"/>
        </w:rPr>
      </w:pPr>
      <w:r>
        <w:rPr>
          <w:rFonts w:hint="eastAsia" w:ascii="方正黑体_GBK" w:eastAsia="方正黑体_GBK"/>
          <w:sz w:val="32"/>
          <w:szCs w:val="32"/>
        </w:rPr>
        <w:t>附件2</w:t>
      </w:r>
    </w:p>
    <w:p>
      <w:pPr>
        <w:pStyle w:val="2"/>
        <w:ind w:firstLine="0"/>
      </w:pPr>
    </w:p>
    <w:p>
      <w:pPr>
        <w:spacing w:before="260" w:line="219" w:lineRule="auto"/>
        <w:jc w:val="center"/>
        <w:rPr>
          <w:rFonts w:ascii="方正小标宋简体" w:hAnsi="仿宋_GB2312" w:eastAsia="方正小标宋简体" w:cs="仿宋_GB2312"/>
          <w:bCs/>
          <w:spacing w:val="-5"/>
          <w:sz w:val="36"/>
          <w:szCs w:val="32"/>
        </w:rPr>
      </w:pPr>
      <w:r>
        <w:rPr>
          <w:rFonts w:hint="eastAsia" w:ascii="方正小标宋简体" w:hAnsi="仿宋_GB2312" w:eastAsia="方正小标宋简体" w:cs="仿宋_GB2312"/>
          <w:bCs/>
          <w:spacing w:val="-5"/>
          <w:sz w:val="36"/>
          <w:szCs w:val="32"/>
        </w:rPr>
        <w:t>新冠病毒感染者居家治疗抗原检测指南</w:t>
      </w:r>
    </w:p>
    <w:p/>
    <w:p>
      <w:pPr>
        <w:spacing w:line="600" w:lineRule="exact"/>
        <w:ind w:left="729"/>
        <w:outlineLvl w:val="0"/>
        <w:rPr>
          <w:rFonts w:ascii="方正黑体_GBK" w:hAnsi="仿宋_GB2312" w:eastAsia="方正黑体_GBK" w:cs="仿宋_GB2312"/>
          <w:sz w:val="32"/>
          <w:szCs w:val="32"/>
        </w:rPr>
      </w:pPr>
      <w:r>
        <w:rPr>
          <w:rFonts w:hint="eastAsia" w:ascii="方正黑体_GBK" w:hAnsi="仿宋_GB2312" w:eastAsia="方正黑体_GBK" w:cs="仿宋_GB2312"/>
          <w:bCs/>
          <w:spacing w:val="-3"/>
          <w:sz w:val="32"/>
          <w:szCs w:val="32"/>
        </w:rPr>
        <w:t>一、检测试剂获得</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1.居家治疗人员可通过药品网络销售电商等购买抗原 检测试剂，也可通过所在的社区(村)或辖区基层医疗卫生机构协助购买抗原检测试剂。</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2.社区(村)和基层医疗卫生机构要为辖区内有需求的 居家治疗人员，特别是老年人，提供获得抗原检测试剂的便利。</w:t>
      </w:r>
    </w:p>
    <w:p>
      <w:pPr>
        <w:spacing w:line="600" w:lineRule="exact"/>
        <w:ind w:left="729"/>
        <w:outlineLvl w:val="0"/>
        <w:rPr>
          <w:rFonts w:ascii="方正黑体_GBK" w:hAnsi="仿宋_GB2312" w:eastAsia="方正黑体_GBK" w:cs="仿宋_GB2312"/>
          <w:bCs/>
          <w:spacing w:val="-3"/>
          <w:sz w:val="32"/>
          <w:szCs w:val="32"/>
        </w:rPr>
      </w:pPr>
      <w:r>
        <w:rPr>
          <w:rFonts w:hint="eastAsia" w:ascii="方正黑体_GBK" w:hAnsi="仿宋_GB2312" w:eastAsia="方正黑体_GBK" w:cs="仿宋_GB2312"/>
          <w:bCs/>
          <w:spacing w:val="-3"/>
          <w:sz w:val="32"/>
          <w:szCs w:val="32"/>
        </w:rPr>
        <w:t>二、检测和结果判读</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1.居家治疗人员可以按照说明书要求和流程自行进行 检测和结果判读，也可以联系基层医疗卫生机构签约服务医务人员，在其远程指导下完成检测和结果判读。</w:t>
      </w:r>
    </w:p>
    <w:p>
      <w:pPr>
        <w:spacing w:line="600" w:lineRule="exact"/>
        <w:ind w:firstLine="640" w:firstLineChars="200"/>
      </w:pPr>
      <w:r>
        <w:rPr>
          <w:rFonts w:hint="eastAsia" w:ascii="仿宋_GB2312" w:hAnsi="仿宋_GB2312" w:eastAsia="仿宋_GB2312" w:cs="仿宋_GB2312"/>
          <w:sz w:val="32"/>
          <w:szCs w:val="32"/>
        </w:rPr>
        <w:t>2.养老机构工作人员要在有需要时，按照说明书要求和流程为养老机构内的老年人进行抗原检测和结果判读。</w:t>
      </w:r>
    </w:p>
    <w:p>
      <w:pPr>
        <w:pStyle w:val="2"/>
        <w:ind w:firstLine="0"/>
      </w:pPr>
    </w:p>
    <w:p>
      <w:pPr>
        <w:pStyle w:val="2"/>
        <w:ind w:firstLine="0"/>
      </w:pPr>
    </w:p>
    <w:p>
      <w:pPr>
        <w:pStyle w:val="2"/>
        <w:ind w:firstLine="0"/>
      </w:pPr>
    </w:p>
    <w:p>
      <w:pPr>
        <w:pStyle w:val="2"/>
        <w:ind w:firstLine="0"/>
      </w:pPr>
    </w:p>
    <w:p>
      <w:pPr>
        <w:pStyle w:val="2"/>
        <w:ind w:firstLine="0"/>
      </w:pPr>
    </w:p>
    <w:p>
      <w:pPr>
        <w:pStyle w:val="2"/>
        <w:ind w:firstLine="0"/>
      </w:pPr>
    </w:p>
    <w:sectPr>
      <w:footerReference r:id="rId4" w:type="first"/>
      <w:footerReference r:id="rId3" w:type="default"/>
      <w:pgSz w:w="11907" w:h="16840"/>
      <w:pgMar w:top="1701" w:right="1531" w:bottom="1440" w:left="1531"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0650E79-E16B-41A3-BA96-D0A8C197C47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DC1E3D1-1C83-4A0D-8165-69851366F2D0}"/>
  </w:font>
  <w:font w:name="仿宋">
    <w:panose1 w:val="02010609060101010101"/>
    <w:charset w:val="86"/>
    <w:family w:val="auto"/>
    <w:pitch w:val="default"/>
    <w:sig w:usb0="800002BF" w:usb1="38CF7CFA" w:usb2="00000016" w:usb3="00000000" w:csb0="00040001" w:csb1="00000000"/>
    <w:embedRegular r:id="rId3" w:fontKey="{FC88C1FC-A097-4F17-A743-0F09E15A4AF9}"/>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83001C3C-F758-475D-BE0B-89BD8C65D521}"/>
  </w:font>
  <w:font w:name="楷体_GB2312">
    <w:panose1 w:val="02010609030101010101"/>
    <w:charset w:val="86"/>
    <w:family w:val="modern"/>
    <w:pitch w:val="default"/>
    <w:sig w:usb0="00000001" w:usb1="080E0000" w:usb2="00000000" w:usb3="00000000" w:csb0="00040000" w:csb1="00000000"/>
    <w:embedRegular r:id="rId5" w:fontKey="{77120162-EB5A-47D5-A159-4D5A12579926}"/>
  </w:font>
  <w:font w:name="方正小标宋_GBK">
    <w:panose1 w:val="03000509000000000000"/>
    <w:charset w:val="86"/>
    <w:family w:val="script"/>
    <w:pitch w:val="default"/>
    <w:sig w:usb0="00000001" w:usb1="080E0000" w:usb2="00000000" w:usb3="00000000" w:csb0="00040000" w:csb1="00000000"/>
    <w:embedRegular r:id="rId6" w:fontKey="{F2CD49E6-9838-4804-AC7B-7820DFC84965}"/>
  </w:font>
  <w:font w:name="华文楷体">
    <w:panose1 w:val="02010600040101010101"/>
    <w:charset w:val="86"/>
    <w:family w:val="auto"/>
    <w:pitch w:val="default"/>
    <w:sig w:usb0="00000287" w:usb1="080F0000" w:usb2="00000000" w:usb3="00000000" w:csb0="0004009F" w:csb1="DFD70000"/>
    <w:embedRegular r:id="rId7" w:fontKey="{643FDA3E-7F9C-4DED-9FE8-DC3BABA5CF66}"/>
  </w:font>
  <w:font w:name="方正小标宋简体">
    <w:panose1 w:val="03000509000000000000"/>
    <w:charset w:val="86"/>
    <w:family w:val="script"/>
    <w:pitch w:val="default"/>
    <w:sig w:usb0="00000001" w:usb1="080E0000" w:usb2="00000000" w:usb3="00000000" w:csb0="00040000" w:csb1="00000000"/>
    <w:embedRegular r:id="rId8" w:fontKey="{7CE92A52-9C6B-4520-A52D-22D7A68E25D9}"/>
  </w:font>
  <w:font w:name="华文中宋">
    <w:panose1 w:val="02010600040101010101"/>
    <w:charset w:val="86"/>
    <w:family w:val="auto"/>
    <w:pitch w:val="default"/>
    <w:sig w:usb0="00000287" w:usb1="080F0000" w:usb2="00000000" w:usb3="00000000" w:csb0="0004009F" w:csb1="DFD70000"/>
    <w:embedRegular r:id="rId9" w:fontKey="{49B91781-A629-4D24-B30F-1760AA47C26A}"/>
  </w:font>
  <w:font w:name="方正仿宋_GBK">
    <w:panose1 w:val="03000509000000000000"/>
    <w:charset w:val="86"/>
    <w:family w:val="script"/>
    <w:pitch w:val="default"/>
    <w:sig w:usb0="00000001" w:usb1="080E0000" w:usb2="00000000" w:usb3="00000000" w:csb0="00040000" w:csb1="00000000"/>
    <w:embedRegular r:id="rId10" w:fontKey="{58ABD491-4B68-46CC-AB8B-181FE7315C32}"/>
  </w:font>
  <w:font w:name="方正黑体_GBK">
    <w:panose1 w:val="03000509000000000000"/>
    <w:charset w:val="86"/>
    <w:family w:val="script"/>
    <w:pitch w:val="default"/>
    <w:sig w:usb0="00000001" w:usb1="080E0000" w:usb2="00000000" w:usb3="00000000" w:csb0="00040000" w:csb1="00000000"/>
    <w:embedRegular r:id="rId11" w:fontKey="{7ED76566-4A4D-4B2B-A517-3BD7DC5E987A}"/>
  </w:font>
  <w:font w:name="方正楷体_GBK">
    <w:panose1 w:val="03000509000000000000"/>
    <w:charset w:val="86"/>
    <w:family w:val="script"/>
    <w:pitch w:val="default"/>
    <w:sig w:usb0="00000001" w:usb1="080E0000" w:usb2="00000000" w:usb3="00000000" w:csb0="00040000" w:csb1="00000000"/>
    <w:embedRegular r:id="rId12" w:fontKey="{63A98186-9C3A-4D83-9052-0E67B778E55C}"/>
  </w:font>
  <w:font w:name="楷体">
    <w:panose1 w:val="02010609060101010101"/>
    <w:charset w:val="86"/>
    <w:family w:val="modern"/>
    <w:pitch w:val="default"/>
    <w:sig w:usb0="800002BF" w:usb1="38CF7CFA" w:usb2="00000016" w:usb3="00000000" w:csb0="00040001" w:csb1="00000000"/>
    <w:embedRegular r:id="rId13" w:fontKey="{C62B5C65-A888-44BC-BEB5-C514E3506B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posOffset>5003165</wp:posOffset>
              </wp:positionH>
              <wp:positionV relativeFrom="paragraph">
                <wp:posOffset>0</wp:posOffset>
              </wp:positionV>
              <wp:extent cx="1828800" cy="1828800"/>
              <wp:effectExtent l="0" t="0" r="5715" b="10795"/>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right"/>
                          </w:pPr>
                          <w:r>
                            <w:rPr>
                              <w:rStyle w:val="20"/>
                              <w:rFonts w:hint="eastAsia" w:ascii="宋体" w:hAnsi="宋体"/>
                              <w:sz w:val="28"/>
                              <w:szCs w:val="28"/>
                            </w:rPr>
                            <w:t xml:space="preserve">— </w:t>
                          </w:r>
                          <w:r>
                            <w:rPr>
                              <w:rFonts w:hint="eastAsia" w:ascii="宋体" w:hAnsi="宋体"/>
                              <w:sz w:val="28"/>
                              <w:szCs w:val="28"/>
                            </w:rPr>
                            <w:fldChar w:fldCharType="begin"/>
                          </w:r>
                          <w:r>
                            <w:rPr>
                              <w:rStyle w:val="20"/>
                              <w:rFonts w:hint="eastAsia" w:ascii="宋体" w:hAnsi="宋体"/>
                              <w:sz w:val="28"/>
                              <w:szCs w:val="28"/>
                            </w:rPr>
                            <w:instrText xml:space="preserve">PAGE  </w:instrText>
                          </w:r>
                          <w:r>
                            <w:rPr>
                              <w:rFonts w:hint="eastAsia" w:ascii="宋体" w:hAnsi="宋体"/>
                              <w:sz w:val="28"/>
                              <w:szCs w:val="28"/>
                            </w:rPr>
                            <w:fldChar w:fldCharType="separate"/>
                          </w:r>
                          <w:r>
                            <w:rPr>
                              <w:rStyle w:val="20"/>
                              <w:rFonts w:ascii="宋体" w:hAnsi="宋体"/>
                              <w:sz w:val="28"/>
                              <w:szCs w:val="28"/>
                            </w:rPr>
                            <w:t>3</w:t>
                          </w:r>
                          <w:r>
                            <w:rPr>
                              <w:rFonts w:hint="eastAsia" w:ascii="宋体" w:hAnsi="宋体"/>
                              <w:sz w:val="28"/>
                              <w:szCs w:val="28"/>
                            </w:rPr>
                            <w:fldChar w:fldCharType="end"/>
                          </w:r>
                          <w:r>
                            <w:rPr>
                              <w:rStyle w:val="20"/>
                              <w:rFonts w:hint="eastAsia" w:ascii="宋体" w:hAnsi="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93.95pt;margin-top:0pt;height:144pt;width:144pt;mso-position-horizontal-relative:margin;mso-wrap-style:none;z-index:251659264;mso-width-relative:page;mso-height-relative:page;" filled="f" stroked="f" coordsize="21600,21600" o:gfxdata="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PQa5aF&#10;rd5ZHqGjeN6ujgECtrpGUToleq3QbW1l+smI7fznvo16+hss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GgWj1gAAAAkBAAAPAAAAAAAAAAEAIAAAACIAAABkcnMvZG93bnJldi54bWxQSwECFAAU&#10;AAAACACHTuJAr2PYMCwCAABVBAAADgAAAAAAAAABACAAAAAlAQAAZHJzL2Uyb0RvYy54bWxQSwUG&#10;AAAAAAYABgBZAQAAwwUAAAAA&#10;">
              <v:fill on="f" focussize="0,0"/>
              <v:stroke on="f" weight="0.5pt"/>
              <v:imagedata o:title=""/>
              <o:lock v:ext="edit" aspectratio="f"/>
              <v:textbox inset="0mm,0mm,0mm,0mm" style="mso-fit-shape-to-text:t;">
                <w:txbxContent>
                  <w:p>
                    <w:pPr>
                      <w:pStyle w:val="12"/>
                      <w:jc w:val="right"/>
                    </w:pPr>
                    <w:r>
                      <w:rPr>
                        <w:rStyle w:val="20"/>
                        <w:rFonts w:hint="eastAsia" w:ascii="宋体" w:hAnsi="宋体"/>
                        <w:sz w:val="28"/>
                        <w:szCs w:val="28"/>
                      </w:rPr>
                      <w:t xml:space="preserve">— </w:t>
                    </w:r>
                    <w:r>
                      <w:rPr>
                        <w:rFonts w:hint="eastAsia" w:ascii="宋体" w:hAnsi="宋体"/>
                        <w:sz w:val="28"/>
                        <w:szCs w:val="28"/>
                      </w:rPr>
                      <w:fldChar w:fldCharType="begin"/>
                    </w:r>
                    <w:r>
                      <w:rPr>
                        <w:rStyle w:val="20"/>
                        <w:rFonts w:hint="eastAsia" w:ascii="宋体" w:hAnsi="宋体"/>
                        <w:sz w:val="28"/>
                        <w:szCs w:val="28"/>
                      </w:rPr>
                      <w:instrText xml:space="preserve">PAGE  </w:instrText>
                    </w:r>
                    <w:r>
                      <w:rPr>
                        <w:rFonts w:hint="eastAsia" w:ascii="宋体" w:hAnsi="宋体"/>
                        <w:sz w:val="28"/>
                        <w:szCs w:val="28"/>
                      </w:rPr>
                      <w:fldChar w:fldCharType="separate"/>
                    </w:r>
                    <w:r>
                      <w:rPr>
                        <w:rStyle w:val="20"/>
                        <w:rFonts w:ascii="宋体" w:hAnsi="宋体"/>
                        <w:sz w:val="28"/>
                        <w:szCs w:val="28"/>
                      </w:rPr>
                      <w:t>3</w:t>
                    </w:r>
                    <w:r>
                      <w:rPr>
                        <w:rFonts w:hint="eastAsia" w:ascii="宋体" w:hAnsi="宋体"/>
                        <w:sz w:val="28"/>
                        <w:szCs w:val="28"/>
                      </w:rPr>
                      <w:fldChar w:fldCharType="end"/>
                    </w:r>
                    <w:r>
                      <w:rPr>
                        <w:rStyle w:val="20"/>
                        <w:rFonts w:hint="eastAsia" w:ascii="宋体" w:hAnsi="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28"/>
      </w:rPr>
      <mc:AlternateContent>
        <mc:Choice Requires="wps">
          <w:drawing>
            <wp:anchor distT="0" distB="0" distL="114300" distR="114300" simplePos="0" relativeHeight="251660288" behindDoc="0" locked="0" layoutInCell="1" allowOverlap="1">
              <wp:simplePos x="0" y="0"/>
              <wp:positionH relativeFrom="margin">
                <wp:posOffset>5155565</wp:posOffset>
              </wp:positionH>
              <wp:positionV relativeFrom="paragraph">
                <wp:posOffset>53340</wp:posOffset>
              </wp:positionV>
              <wp:extent cx="1828800" cy="1828800"/>
              <wp:effectExtent l="0" t="0" r="5715" b="10795"/>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right"/>
                          </w:pPr>
                          <w:r>
                            <w:rPr>
                              <w:rStyle w:val="20"/>
                              <w:rFonts w:hint="eastAsia" w:ascii="宋体" w:hAnsi="宋体"/>
                              <w:sz w:val="28"/>
                              <w:szCs w:val="28"/>
                            </w:rPr>
                            <w:t xml:space="preserve">— </w:t>
                          </w:r>
                          <w:r>
                            <w:rPr>
                              <w:rFonts w:hint="eastAsia" w:ascii="宋体" w:hAnsi="宋体"/>
                              <w:sz w:val="28"/>
                              <w:szCs w:val="28"/>
                            </w:rPr>
                            <w:fldChar w:fldCharType="begin"/>
                          </w:r>
                          <w:r>
                            <w:rPr>
                              <w:rStyle w:val="20"/>
                              <w:rFonts w:hint="eastAsia" w:ascii="宋体" w:hAnsi="宋体"/>
                              <w:sz w:val="28"/>
                              <w:szCs w:val="28"/>
                            </w:rPr>
                            <w:instrText xml:space="preserve">PAGE  </w:instrText>
                          </w:r>
                          <w:r>
                            <w:rPr>
                              <w:rFonts w:hint="eastAsia" w:ascii="宋体" w:hAnsi="宋体"/>
                              <w:sz w:val="28"/>
                              <w:szCs w:val="28"/>
                            </w:rPr>
                            <w:fldChar w:fldCharType="separate"/>
                          </w:r>
                          <w:r>
                            <w:rPr>
                              <w:rStyle w:val="20"/>
                              <w:rFonts w:ascii="宋体" w:hAnsi="宋体"/>
                              <w:sz w:val="28"/>
                              <w:szCs w:val="28"/>
                            </w:rPr>
                            <w:t>1</w:t>
                          </w:r>
                          <w:r>
                            <w:rPr>
                              <w:rFonts w:hint="eastAsia" w:ascii="宋体" w:hAnsi="宋体"/>
                              <w:sz w:val="28"/>
                              <w:szCs w:val="28"/>
                            </w:rPr>
                            <w:fldChar w:fldCharType="end"/>
                          </w:r>
                          <w:r>
                            <w:rPr>
                              <w:rStyle w:val="20"/>
                              <w:rFonts w:hint="eastAsia" w:ascii="宋体" w:hAnsi="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05.95pt;margin-top:4.2pt;height:144pt;width:144pt;mso-position-horizontal-relative:margin;mso-wrap-style:none;z-index:251660288;mso-width-relative:page;mso-height-relative:page;" filled="f" stroked="f" coordsize="21600,21600" o:gfxdata="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3J6UDXAAAACgEAAA8AAAAAAAAAAQAgAAAAIgAAAGRycy9kb3ducmV2LnhtbFBLAQIUABQA&#10;AAAIAIdO4kCM1w58KgIAAFUEAAAOAAAAAAAAAAEAIAAAACYBAABkcnMvZTJvRG9jLnhtbFBLBQYA&#10;AAAABgAGAFkBAADCBQAAAAA=&#10;">
              <v:fill on="f" focussize="0,0"/>
              <v:stroke on="f" weight="0.5pt"/>
              <v:imagedata o:title=""/>
              <o:lock v:ext="edit" aspectratio="f"/>
              <v:textbox inset="0mm,0mm,0mm,0mm" style="mso-fit-shape-to-text:t;">
                <w:txbxContent>
                  <w:p>
                    <w:pPr>
                      <w:pStyle w:val="12"/>
                      <w:jc w:val="right"/>
                    </w:pPr>
                    <w:r>
                      <w:rPr>
                        <w:rStyle w:val="20"/>
                        <w:rFonts w:hint="eastAsia" w:ascii="宋体" w:hAnsi="宋体"/>
                        <w:sz w:val="28"/>
                        <w:szCs w:val="28"/>
                      </w:rPr>
                      <w:t xml:space="preserve">— </w:t>
                    </w:r>
                    <w:r>
                      <w:rPr>
                        <w:rFonts w:hint="eastAsia" w:ascii="宋体" w:hAnsi="宋体"/>
                        <w:sz w:val="28"/>
                        <w:szCs w:val="28"/>
                      </w:rPr>
                      <w:fldChar w:fldCharType="begin"/>
                    </w:r>
                    <w:r>
                      <w:rPr>
                        <w:rStyle w:val="20"/>
                        <w:rFonts w:hint="eastAsia" w:ascii="宋体" w:hAnsi="宋体"/>
                        <w:sz w:val="28"/>
                        <w:szCs w:val="28"/>
                      </w:rPr>
                      <w:instrText xml:space="preserve">PAGE  </w:instrText>
                    </w:r>
                    <w:r>
                      <w:rPr>
                        <w:rFonts w:hint="eastAsia" w:ascii="宋体" w:hAnsi="宋体"/>
                        <w:sz w:val="28"/>
                        <w:szCs w:val="28"/>
                      </w:rPr>
                      <w:fldChar w:fldCharType="separate"/>
                    </w:r>
                    <w:r>
                      <w:rPr>
                        <w:rStyle w:val="20"/>
                        <w:rFonts w:ascii="宋体" w:hAnsi="宋体"/>
                        <w:sz w:val="28"/>
                        <w:szCs w:val="28"/>
                      </w:rPr>
                      <w:t>1</w:t>
                    </w:r>
                    <w:r>
                      <w:rPr>
                        <w:rFonts w:hint="eastAsia" w:ascii="宋体" w:hAnsi="宋体"/>
                        <w:sz w:val="28"/>
                        <w:szCs w:val="28"/>
                      </w:rPr>
                      <w:fldChar w:fldCharType="end"/>
                    </w:r>
                    <w:r>
                      <w:rPr>
                        <w:rStyle w:val="20"/>
                        <w:rFonts w:hint="eastAsia" w:ascii="宋体" w:hAnsi="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0ZmEzZDM0MGQ5NzE3MjA4MjY4MmNkOWY5ODJhYWMifQ=="/>
  </w:docVars>
  <w:rsids>
    <w:rsidRoot w:val="007133B9"/>
    <w:rsid w:val="00004D7D"/>
    <w:rsid w:val="00005448"/>
    <w:rsid w:val="00006CD0"/>
    <w:rsid w:val="00012F69"/>
    <w:rsid w:val="00013256"/>
    <w:rsid w:val="00014070"/>
    <w:rsid w:val="000145B5"/>
    <w:rsid w:val="00024C42"/>
    <w:rsid w:val="000255A9"/>
    <w:rsid w:val="0002729D"/>
    <w:rsid w:val="00027EB6"/>
    <w:rsid w:val="000326B8"/>
    <w:rsid w:val="00036114"/>
    <w:rsid w:val="000370AE"/>
    <w:rsid w:val="0004565B"/>
    <w:rsid w:val="00046333"/>
    <w:rsid w:val="00050E97"/>
    <w:rsid w:val="00051AE2"/>
    <w:rsid w:val="00054D8B"/>
    <w:rsid w:val="0006060D"/>
    <w:rsid w:val="00061A1D"/>
    <w:rsid w:val="00062D85"/>
    <w:rsid w:val="00063206"/>
    <w:rsid w:val="00066856"/>
    <w:rsid w:val="0007275F"/>
    <w:rsid w:val="00073A81"/>
    <w:rsid w:val="0007692F"/>
    <w:rsid w:val="00076FED"/>
    <w:rsid w:val="000771EB"/>
    <w:rsid w:val="00077C45"/>
    <w:rsid w:val="00081440"/>
    <w:rsid w:val="0008161C"/>
    <w:rsid w:val="00081725"/>
    <w:rsid w:val="00084215"/>
    <w:rsid w:val="000846B6"/>
    <w:rsid w:val="00084BFC"/>
    <w:rsid w:val="00086E51"/>
    <w:rsid w:val="00092A39"/>
    <w:rsid w:val="00094A97"/>
    <w:rsid w:val="000A1229"/>
    <w:rsid w:val="000A147A"/>
    <w:rsid w:val="000A442B"/>
    <w:rsid w:val="000A5440"/>
    <w:rsid w:val="000A6829"/>
    <w:rsid w:val="000A6C15"/>
    <w:rsid w:val="000A72A2"/>
    <w:rsid w:val="000C0347"/>
    <w:rsid w:val="000C17FC"/>
    <w:rsid w:val="000C303A"/>
    <w:rsid w:val="000C3660"/>
    <w:rsid w:val="000C42B5"/>
    <w:rsid w:val="000C4DD9"/>
    <w:rsid w:val="000C525D"/>
    <w:rsid w:val="000D1199"/>
    <w:rsid w:val="000E0E8E"/>
    <w:rsid w:val="000E366E"/>
    <w:rsid w:val="000E3AC2"/>
    <w:rsid w:val="000E4323"/>
    <w:rsid w:val="000F0C5B"/>
    <w:rsid w:val="000F1B0F"/>
    <w:rsid w:val="000F2557"/>
    <w:rsid w:val="000F301C"/>
    <w:rsid w:val="000F7E85"/>
    <w:rsid w:val="0010201C"/>
    <w:rsid w:val="00103D6F"/>
    <w:rsid w:val="001047E2"/>
    <w:rsid w:val="001062E7"/>
    <w:rsid w:val="001067BF"/>
    <w:rsid w:val="00107897"/>
    <w:rsid w:val="00107954"/>
    <w:rsid w:val="001106B6"/>
    <w:rsid w:val="00111CE6"/>
    <w:rsid w:val="00112C36"/>
    <w:rsid w:val="0011307B"/>
    <w:rsid w:val="00114B36"/>
    <w:rsid w:val="0011715A"/>
    <w:rsid w:val="00123805"/>
    <w:rsid w:val="00123E01"/>
    <w:rsid w:val="00124C3B"/>
    <w:rsid w:val="00127941"/>
    <w:rsid w:val="001313FF"/>
    <w:rsid w:val="00132FAF"/>
    <w:rsid w:val="0013318E"/>
    <w:rsid w:val="0013392E"/>
    <w:rsid w:val="00133E69"/>
    <w:rsid w:val="00134FF6"/>
    <w:rsid w:val="0013533D"/>
    <w:rsid w:val="0014056F"/>
    <w:rsid w:val="00141E41"/>
    <w:rsid w:val="001447E9"/>
    <w:rsid w:val="00146B45"/>
    <w:rsid w:val="00152CEB"/>
    <w:rsid w:val="00155044"/>
    <w:rsid w:val="001576BB"/>
    <w:rsid w:val="00157F07"/>
    <w:rsid w:val="001610FF"/>
    <w:rsid w:val="00161770"/>
    <w:rsid w:val="001640DC"/>
    <w:rsid w:val="001642BA"/>
    <w:rsid w:val="00165C18"/>
    <w:rsid w:val="001757AC"/>
    <w:rsid w:val="00176D6B"/>
    <w:rsid w:val="00181DC8"/>
    <w:rsid w:val="00182DD0"/>
    <w:rsid w:val="00183E1D"/>
    <w:rsid w:val="00183F78"/>
    <w:rsid w:val="00184CA4"/>
    <w:rsid w:val="0019258B"/>
    <w:rsid w:val="00194403"/>
    <w:rsid w:val="001947BE"/>
    <w:rsid w:val="00194960"/>
    <w:rsid w:val="00197C9B"/>
    <w:rsid w:val="001A0574"/>
    <w:rsid w:val="001A1916"/>
    <w:rsid w:val="001A4DF6"/>
    <w:rsid w:val="001A573C"/>
    <w:rsid w:val="001A77DA"/>
    <w:rsid w:val="001B1E4F"/>
    <w:rsid w:val="001B1E93"/>
    <w:rsid w:val="001B20EE"/>
    <w:rsid w:val="001B2536"/>
    <w:rsid w:val="001B307F"/>
    <w:rsid w:val="001B4A86"/>
    <w:rsid w:val="001B4C16"/>
    <w:rsid w:val="001B65D1"/>
    <w:rsid w:val="001B6827"/>
    <w:rsid w:val="001C3122"/>
    <w:rsid w:val="001C3754"/>
    <w:rsid w:val="001C6561"/>
    <w:rsid w:val="001C79CF"/>
    <w:rsid w:val="001D1BC5"/>
    <w:rsid w:val="001D322C"/>
    <w:rsid w:val="001D3990"/>
    <w:rsid w:val="001D4AA7"/>
    <w:rsid w:val="001E0922"/>
    <w:rsid w:val="001E23E3"/>
    <w:rsid w:val="001E3D74"/>
    <w:rsid w:val="001E7EE3"/>
    <w:rsid w:val="001F2884"/>
    <w:rsid w:val="001F4CE1"/>
    <w:rsid w:val="001F4E66"/>
    <w:rsid w:val="001F5A0A"/>
    <w:rsid w:val="001F65EA"/>
    <w:rsid w:val="002017E7"/>
    <w:rsid w:val="00206226"/>
    <w:rsid w:val="002066DB"/>
    <w:rsid w:val="00206F15"/>
    <w:rsid w:val="002078F7"/>
    <w:rsid w:val="0021005C"/>
    <w:rsid w:val="00210C71"/>
    <w:rsid w:val="00210CD3"/>
    <w:rsid w:val="002113AA"/>
    <w:rsid w:val="00212FD3"/>
    <w:rsid w:val="002142BC"/>
    <w:rsid w:val="00214E73"/>
    <w:rsid w:val="00217549"/>
    <w:rsid w:val="0022087A"/>
    <w:rsid w:val="00221D92"/>
    <w:rsid w:val="002265AA"/>
    <w:rsid w:val="00226942"/>
    <w:rsid w:val="00231124"/>
    <w:rsid w:val="00231C78"/>
    <w:rsid w:val="0023440A"/>
    <w:rsid w:val="002347E4"/>
    <w:rsid w:val="0023593C"/>
    <w:rsid w:val="00241232"/>
    <w:rsid w:val="00247B06"/>
    <w:rsid w:val="00250703"/>
    <w:rsid w:val="0025243D"/>
    <w:rsid w:val="0025487A"/>
    <w:rsid w:val="002568A8"/>
    <w:rsid w:val="0025709E"/>
    <w:rsid w:val="0026085E"/>
    <w:rsid w:val="00265E67"/>
    <w:rsid w:val="002675BF"/>
    <w:rsid w:val="00271079"/>
    <w:rsid w:val="00274B55"/>
    <w:rsid w:val="00275AAD"/>
    <w:rsid w:val="00276DC7"/>
    <w:rsid w:val="00277C8F"/>
    <w:rsid w:val="00282145"/>
    <w:rsid w:val="002831E2"/>
    <w:rsid w:val="00283536"/>
    <w:rsid w:val="0028574F"/>
    <w:rsid w:val="00286E26"/>
    <w:rsid w:val="002908C4"/>
    <w:rsid w:val="00290C2B"/>
    <w:rsid w:val="002925F7"/>
    <w:rsid w:val="00294B9A"/>
    <w:rsid w:val="002968D7"/>
    <w:rsid w:val="002A0ECE"/>
    <w:rsid w:val="002A2EC7"/>
    <w:rsid w:val="002A67BA"/>
    <w:rsid w:val="002A76A0"/>
    <w:rsid w:val="002A7F33"/>
    <w:rsid w:val="002B08DB"/>
    <w:rsid w:val="002B0FC2"/>
    <w:rsid w:val="002B1D4E"/>
    <w:rsid w:val="002B1D7B"/>
    <w:rsid w:val="002B1EE4"/>
    <w:rsid w:val="002B408A"/>
    <w:rsid w:val="002B41BC"/>
    <w:rsid w:val="002B4437"/>
    <w:rsid w:val="002B69A3"/>
    <w:rsid w:val="002C08CF"/>
    <w:rsid w:val="002C0D56"/>
    <w:rsid w:val="002C2879"/>
    <w:rsid w:val="002C4552"/>
    <w:rsid w:val="002C509E"/>
    <w:rsid w:val="002C7657"/>
    <w:rsid w:val="002C7682"/>
    <w:rsid w:val="002C76E7"/>
    <w:rsid w:val="002D16C6"/>
    <w:rsid w:val="002D2C6F"/>
    <w:rsid w:val="002D441F"/>
    <w:rsid w:val="002E0F7F"/>
    <w:rsid w:val="002E2024"/>
    <w:rsid w:val="002E2A7E"/>
    <w:rsid w:val="002E4331"/>
    <w:rsid w:val="002E4C2C"/>
    <w:rsid w:val="002E5862"/>
    <w:rsid w:val="002E59AD"/>
    <w:rsid w:val="002E5D1D"/>
    <w:rsid w:val="002E6B15"/>
    <w:rsid w:val="002E74A4"/>
    <w:rsid w:val="002F360E"/>
    <w:rsid w:val="002F3B50"/>
    <w:rsid w:val="002F418C"/>
    <w:rsid w:val="003007B9"/>
    <w:rsid w:val="00301790"/>
    <w:rsid w:val="00303410"/>
    <w:rsid w:val="00305934"/>
    <w:rsid w:val="00306D44"/>
    <w:rsid w:val="00307757"/>
    <w:rsid w:val="00311EFA"/>
    <w:rsid w:val="00313AA2"/>
    <w:rsid w:val="00314E13"/>
    <w:rsid w:val="0031514A"/>
    <w:rsid w:val="00315C8E"/>
    <w:rsid w:val="003173DC"/>
    <w:rsid w:val="00317883"/>
    <w:rsid w:val="00320F44"/>
    <w:rsid w:val="00323D3E"/>
    <w:rsid w:val="003308FE"/>
    <w:rsid w:val="00331DCB"/>
    <w:rsid w:val="00334FD5"/>
    <w:rsid w:val="00340540"/>
    <w:rsid w:val="00340BCE"/>
    <w:rsid w:val="00346542"/>
    <w:rsid w:val="00346B22"/>
    <w:rsid w:val="0034716A"/>
    <w:rsid w:val="00347E9E"/>
    <w:rsid w:val="00347EB3"/>
    <w:rsid w:val="00354AC1"/>
    <w:rsid w:val="003552F4"/>
    <w:rsid w:val="00355C0F"/>
    <w:rsid w:val="003579BD"/>
    <w:rsid w:val="003603ED"/>
    <w:rsid w:val="0036153D"/>
    <w:rsid w:val="00365796"/>
    <w:rsid w:val="00365E94"/>
    <w:rsid w:val="00366C30"/>
    <w:rsid w:val="0037276C"/>
    <w:rsid w:val="00372779"/>
    <w:rsid w:val="00373D84"/>
    <w:rsid w:val="00381923"/>
    <w:rsid w:val="00381EB4"/>
    <w:rsid w:val="0038286A"/>
    <w:rsid w:val="003859BF"/>
    <w:rsid w:val="00386322"/>
    <w:rsid w:val="00390F44"/>
    <w:rsid w:val="00393A65"/>
    <w:rsid w:val="00394638"/>
    <w:rsid w:val="003978B7"/>
    <w:rsid w:val="003A12E3"/>
    <w:rsid w:val="003A2416"/>
    <w:rsid w:val="003A2513"/>
    <w:rsid w:val="003A3CD3"/>
    <w:rsid w:val="003A50C3"/>
    <w:rsid w:val="003A666E"/>
    <w:rsid w:val="003A6A75"/>
    <w:rsid w:val="003B0D3E"/>
    <w:rsid w:val="003B3D93"/>
    <w:rsid w:val="003B5274"/>
    <w:rsid w:val="003B5F24"/>
    <w:rsid w:val="003B68E0"/>
    <w:rsid w:val="003C11B5"/>
    <w:rsid w:val="003D0288"/>
    <w:rsid w:val="003D32A7"/>
    <w:rsid w:val="003D61CC"/>
    <w:rsid w:val="003D793D"/>
    <w:rsid w:val="003E328B"/>
    <w:rsid w:val="003E4030"/>
    <w:rsid w:val="003E4960"/>
    <w:rsid w:val="003E4F7D"/>
    <w:rsid w:val="003E588F"/>
    <w:rsid w:val="003E7FE7"/>
    <w:rsid w:val="003F6BB6"/>
    <w:rsid w:val="003F7BC7"/>
    <w:rsid w:val="00402547"/>
    <w:rsid w:val="00406CF5"/>
    <w:rsid w:val="00410EA4"/>
    <w:rsid w:val="004112A4"/>
    <w:rsid w:val="00411DF7"/>
    <w:rsid w:val="0041383E"/>
    <w:rsid w:val="0041457C"/>
    <w:rsid w:val="0041506E"/>
    <w:rsid w:val="004159D5"/>
    <w:rsid w:val="00416924"/>
    <w:rsid w:val="00416CF9"/>
    <w:rsid w:val="0041708C"/>
    <w:rsid w:val="00421325"/>
    <w:rsid w:val="00424B2C"/>
    <w:rsid w:val="004362F3"/>
    <w:rsid w:val="004369FE"/>
    <w:rsid w:val="00436EFB"/>
    <w:rsid w:val="00440BA0"/>
    <w:rsid w:val="00441780"/>
    <w:rsid w:val="00441EDC"/>
    <w:rsid w:val="004426AD"/>
    <w:rsid w:val="0044443A"/>
    <w:rsid w:val="00446570"/>
    <w:rsid w:val="00447986"/>
    <w:rsid w:val="00450520"/>
    <w:rsid w:val="0045123E"/>
    <w:rsid w:val="00451CD1"/>
    <w:rsid w:val="00457544"/>
    <w:rsid w:val="00457886"/>
    <w:rsid w:val="00457963"/>
    <w:rsid w:val="00457FFE"/>
    <w:rsid w:val="00465F47"/>
    <w:rsid w:val="00466490"/>
    <w:rsid w:val="00470954"/>
    <w:rsid w:val="004816E5"/>
    <w:rsid w:val="004838A5"/>
    <w:rsid w:val="004845EF"/>
    <w:rsid w:val="004849D3"/>
    <w:rsid w:val="00486DA1"/>
    <w:rsid w:val="004876E5"/>
    <w:rsid w:val="00491531"/>
    <w:rsid w:val="00492FCF"/>
    <w:rsid w:val="004960BB"/>
    <w:rsid w:val="004962D5"/>
    <w:rsid w:val="004A16ED"/>
    <w:rsid w:val="004A429D"/>
    <w:rsid w:val="004A4F83"/>
    <w:rsid w:val="004A6995"/>
    <w:rsid w:val="004A7838"/>
    <w:rsid w:val="004B014D"/>
    <w:rsid w:val="004B016E"/>
    <w:rsid w:val="004B2438"/>
    <w:rsid w:val="004B2FD4"/>
    <w:rsid w:val="004B3A5D"/>
    <w:rsid w:val="004B6DC1"/>
    <w:rsid w:val="004C0E5A"/>
    <w:rsid w:val="004C0F15"/>
    <w:rsid w:val="004C16E6"/>
    <w:rsid w:val="004C2080"/>
    <w:rsid w:val="004C339B"/>
    <w:rsid w:val="004C7205"/>
    <w:rsid w:val="004D0177"/>
    <w:rsid w:val="004D2865"/>
    <w:rsid w:val="004D3F2B"/>
    <w:rsid w:val="004D4E53"/>
    <w:rsid w:val="004E1CFC"/>
    <w:rsid w:val="004E7283"/>
    <w:rsid w:val="004F299A"/>
    <w:rsid w:val="004F2F34"/>
    <w:rsid w:val="004F3048"/>
    <w:rsid w:val="004F31C8"/>
    <w:rsid w:val="004F3FCE"/>
    <w:rsid w:val="004F5004"/>
    <w:rsid w:val="0050129A"/>
    <w:rsid w:val="00501DC9"/>
    <w:rsid w:val="00503F19"/>
    <w:rsid w:val="00507FC4"/>
    <w:rsid w:val="00510372"/>
    <w:rsid w:val="005109B5"/>
    <w:rsid w:val="00516106"/>
    <w:rsid w:val="005230F9"/>
    <w:rsid w:val="00524FBE"/>
    <w:rsid w:val="00532510"/>
    <w:rsid w:val="00534152"/>
    <w:rsid w:val="00534A0C"/>
    <w:rsid w:val="00535C71"/>
    <w:rsid w:val="00537D28"/>
    <w:rsid w:val="005409E2"/>
    <w:rsid w:val="005422EA"/>
    <w:rsid w:val="005427AC"/>
    <w:rsid w:val="0054544B"/>
    <w:rsid w:val="005456B1"/>
    <w:rsid w:val="00546859"/>
    <w:rsid w:val="00550B49"/>
    <w:rsid w:val="00551513"/>
    <w:rsid w:val="00551F92"/>
    <w:rsid w:val="00553B11"/>
    <w:rsid w:val="00555E6D"/>
    <w:rsid w:val="0055709E"/>
    <w:rsid w:val="005604B3"/>
    <w:rsid w:val="00562488"/>
    <w:rsid w:val="00562EDF"/>
    <w:rsid w:val="005656DC"/>
    <w:rsid w:val="0056727A"/>
    <w:rsid w:val="00567D24"/>
    <w:rsid w:val="005715A9"/>
    <w:rsid w:val="005722B3"/>
    <w:rsid w:val="00576BF8"/>
    <w:rsid w:val="005774BE"/>
    <w:rsid w:val="005774D4"/>
    <w:rsid w:val="0058323B"/>
    <w:rsid w:val="00590EE4"/>
    <w:rsid w:val="00593C78"/>
    <w:rsid w:val="00594ECA"/>
    <w:rsid w:val="00595421"/>
    <w:rsid w:val="005A122C"/>
    <w:rsid w:val="005A1392"/>
    <w:rsid w:val="005A2656"/>
    <w:rsid w:val="005A64EE"/>
    <w:rsid w:val="005A74F0"/>
    <w:rsid w:val="005B65BF"/>
    <w:rsid w:val="005B7216"/>
    <w:rsid w:val="005B7C36"/>
    <w:rsid w:val="005C12EF"/>
    <w:rsid w:val="005C2FB2"/>
    <w:rsid w:val="005C30FF"/>
    <w:rsid w:val="005C32B3"/>
    <w:rsid w:val="005C5B12"/>
    <w:rsid w:val="005C6C19"/>
    <w:rsid w:val="005C7E9B"/>
    <w:rsid w:val="005D3308"/>
    <w:rsid w:val="005D37D0"/>
    <w:rsid w:val="005D42EF"/>
    <w:rsid w:val="005D5A5F"/>
    <w:rsid w:val="005D6F5C"/>
    <w:rsid w:val="005D76F9"/>
    <w:rsid w:val="005D7B43"/>
    <w:rsid w:val="005D7DBC"/>
    <w:rsid w:val="005E020D"/>
    <w:rsid w:val="005E0FB6"/>
    <w:rsid w:val="005E1729"/>
    <w:rsid w:val="005F2BAB"/>
    <w:rsid w:val="005F3B3B"/>
    <w:rsid w:val="006002E7"/>
    <w:rsid w:val="00601C4E"/>
    <w:rsid w:val="00604007"/>
    <w:rsid w:val="00606493"/>
    <w:rsid w:val="0060714B"/>
    <w:rsid w:val="00607B30"/>
    <w:rsid w:val="00610979"/>
    <w:rsid w:val="00612795"/>
    <w:rsid w:val="00614800"/>
    <w:rsid w:val="00615886"/>
    <w:rsid w:val="00616A36"/>
    <w:rsid w:val="00620737"/>
    <w:rsid w:val="006255AC"/>
    <w:rsid w:val="0062592E"/>
    <w:rsid w:val="00626999"/>
    <w:rsid w:val="00627682"/>
    <w:rsid w:val="00630671"/>
    <w:rsid w:val="00633E30"/>
    <w:rsid w:val="00634B41"/>
    <w:rsid w:val="006361E9"/>
    <w:rsid w:val="0064166C"/>
    <w:rsid w:val="00641B77"/>
    <w:rsid w:val="006428F3"/>
    <w:rsid w:val="006429B5"/>
    <w:rsid w:val="00642BD0"/>
    <w:rsid w:val="0064321D"/>
    <w:rsid w:val="0064501C"/>
    <w:rsid w:val="00645A8A"/>
    <w:rsid w:val="00647D0E"/>
    <w:rsid w:val="00650004"/>
    <w:rsid w:val="00650047"/>
    <w:rsid w:val="00650302"/>
    <w:rsid w:val="00651BA3"/>
    <w:rsid w:val="00655264"/>
    <w:rsid w:val="00664BD0"/>
    <w:rsid w:val="0066645E"/>
    <w:rsid w:val="00672AB0"/>
    <w:rsid w:val="00673241"/>
    <w:rsid w:val="0067394B"/>
    <w:rsid w:val="00674B5F"/>
    <w:rsid w:val="00675747"/>
    <w:rsid w:val="0067779B"/>
    <w:rsid w:val="00682C02"/>
    <w:rsid w:val="00683080"/>
    <w:rsid w:val="006859E8"/>
    <w:rsid w:val="00687122"/>
    <w:rsid w:val="00690EC3"/>
    <w:rsid w:val="006918C1"/>
    <w:rsid w:val="0069294F"/>
    <w:rsid w:val="00693E80"/>
    <w:rsid w:val="00694361"/>
    <w:rsid w:val="006A1E8B"/>
    <w:rsid w:val="006A2666"/>
    <w:rsid w:val="006A6524"/>
    <w:rsid w:val="006A665D"/>
    <w:rsid w:val="006B2F54"/>
    <w:rsid w:val="006B32E0"/>
    <w:rsid w:val="006B56CC"/>
    <w:rsid w:val="006C097F"/>
    <w:rsid w:val="006C0A87"/>
    <w:rsid w:val="006C1380"/>
    <w:rsid w:val="006C20CF"/>
    <w:rsid w:val="006C2277"/>
    <w:rsid w:val="006C3CF1"/>
    <w:rsid w:val="006C5247"/>
    <w:rsid w:val="006C55FD"/>
    <w:rsid w:val="006C7284"/>
    <w:rsid w:val="006C7E15"/>
    <w:rsid w:val="006D64D8"/>
    <w:rsid w:val="006E399D"/>
    <w:rsid w:val="006E667A"/>
    <w:rsid w:val="006E770C"/>
    <w:rsid w:val="006F5A34"/>
    <w:rsid w:val="006F639A"/>
    <w:rsid w:val="006F72B4"/>
    <w:rsid w:val="0070064C"/>
    <w:rsid w:val="007020D4"/>
    <w:rsid w:val="00702E64"/>
    <w:rsid w:val="00702F9A"/>
    <w:rsid w:val="0070788A"/>
    <w:rsid w:val="007133B9"/>
    <w:rsid w:val="00716751"/>
    <w:rsid w:val="0071772A"/>
    <w:rsid w:val="00717D93"/>
    <w:rsid w:val="00724090"/>
    <w:rsid w:val="007267E2"/>
    <w:rsid w:val="007276B0"/>
    <w:rsid w:val="00730A8C"/>
    <w:rsid w:val="00731465"/>
    <w:rsid w:val="00731B0F"/>
    <w:rsid w:val="007323CC"/>
    <w:rsid w:val="00732C3C"/>
    <w:rsid w:val="00732E07"/>
    <w:rsid w:val="00733E5F"/>
    <w:rsid w:val="0073527C"/>
    <w:rsid w:val="0073737F"/>
    <w:rsid w:val="0074058E"/>
    <w:rsid w:val="00741A65"/>
    <w:rsid w:val="00750628"/>
    <w:rsid w:val="0075151D"/>
    <w:rsid w:val="00752717"/>
    <w:rsid w:val="007542C3"/>
    <w:rsid w:val="00755700"/>
    <w:rsid w:val="0075583C"/>
    <w:rsid w:val="007602D7"/>
    <w:rsid w:val="00760E71"/>
    <w:rsid w:val="00760F85"/>
    <w:rsid w:val="007641FA"/>
    <w:rsid w:val="00765CFB"/>
    <w:rsid w:val="007667F7"/>
    <w:rsid w:val="007679A4"/>
    <w:rsid w:val="00770F9F"/>
    <w:rsid w:val="007710EC"/>
    <w:rsid w:val="00772D50"/>
    <w:rsid w:val="00773770"/>
    <w:rsid w:val="007748DA"/>
    <w:rsid w:val="007756A5"/>
    <w:rsid w:val="00775C5A"/>
    <w:rsid w:val="00776169"/>
    <w:rsid w:val="00780217"/>
    <w:rsid w:val="00780901"/>
    <w:rsid w:val="00782556"/>
    <w:rsid w:val="00782C95"/>
    <w:rsid w:val="00783947"/>
    <w:rsid w:val="0078502F"/>
    <w:rsid w:val="00785E04"/>
    <w:rsid w:val="00786DBA"/>
    <w:rsid w:val="00794258"/>
    <w:rsid w:val="0079765D"/>
    <w:rsid w:val="007A185B"/>
    <w:rsid w:val="007A56D3"/>
    <w:rsid w:val="007A6188"/>
    <w:rsid w:val="007B13DB"/>
    <w:rsid w:val="007B342A"/>
    <w:rsid w:val="007B57B1"/>
    <w:rsid w:val="007B6C5F"/>
    <w:rsid w:val="007C0E5C"/>
    <w:rsid w:val="007C1A5D"/>
    <w:rsid w:val="007C2F72"/>
    <w:rsid w:val="007C37F0"/>
    <w:rsid w:val="007C5596"/>
    <w:rsid w:val="007C5B19"/>
    <w:rsid w:val="007C5E95"/>
    <w:rsid w:val="007C6BB3"/>
    <w:rsid w:val="007D36DF"/>
    <w:rsid w:val="007D463D"/>
    <w:rsid w:val="007D47C7"/>
    <w:rsid w:val="007E0FC8"/>
    <w:rsid w:val="007E4BB9"/>
    <w:rsid w:val="007E5823"/>
    <w:rsid w:val="007F3BB0"/>
    <w:rsid w:val="00801466"/>
    <w:rsid w:val="00801ED8"/>
    <w:rsid w:val="00802691"/>
    <w:rsid w:val="0080326F"/>
    <w:rsid w:val="008040D2"/>
    <w:rsid w:val="00804B9A"/>
    <w:rsid w:val="00804CB7"/>
    <w:rsid w:val="0081019B"/>
    <w:rsid w:val="00810398"/>
    <w:rsid w:val="0082001A"/>
    <w:rsid w:val="00820E3C"/>
    <w:rsid w:val="00820EB2"/>
    <w:rsid w:val="00821FEB"/>
    <w:rsid w:val="00823432"/>
    <w:rsid w:val="008240E7"/>
    <w:rsid w:val="00825B91"/>
    <w:rsid w:val="008303CC"/>
    <w:rsid w:val="00835635"/>
    <w:rsid w:val="008378CC"/>
    <w:rsid w:val="00840111"/>
    <w:rsid w:val="00841C05"/>
    <w:rsid w:val="00845B24"/>
    <w:rsid w:val="0084783A"/>
    <w:rsid w:val="00851DD4"/>
    <w:rsid w:val="008543E6"/>
    <w:rsid w:val="00854956"/>
    <w:rsid w:val="008553D3"/>
    <w:rsid w:val="0085663B"/>
    <w:rsid w:val="00856D44"/>
    <w:rsid w:val="0085725A"/>
    <w:rsid w:val="00857834"/>
    <w:rsid w:val="008605E5"/>
    <w:rsid w:val="00860F7F"/>
    <w:rsid w:val="00861677"/>
    <w:rsid w:val="0086403E"/>
    <w:rsid w:val="00865BB1"/>
    <w:rsid w:val="0086696B"/>
    <w:rsid w:val="00867A78"/>
    <w:rsid w:val="0087252E"/>
    <w:rsid w:val="008725B3"/>
    <w:rsid w:val="008728DD"/>
    <w:rsid w:val="00872FF5"/>
    <w:rsid w:val="00874313"/>
    <w:rsid w:val="00875D5D"/>
    <w:rsid w:val="00880CC6"/>
    <w:rsid w:val="00880EB8"/>
    <w:rsid w:val="008821D5"/>
    <w:rsid w:val="00882371"/>
    <w:rsid w:val="008823B9"/>
    <w:rsid w:val="00882763"/>
    <w:rsid w:val="00883288"/>
    <w:rsid w:val="00886B8C"/>
    <w:rsid w:val="008879B0"/>
    <w:rsid w:val="00891AC4"/>
    <w:rsid w:val="008954F0"/>
    <w:rsid w:val="008955C4"/>
    <w:rsid w:val="008A21FA"/>
    <w:rsid w:val="008A2DDC"/>
    <w:rsid w:val="008A606C"/>
    <w:rsid w:val="008A6DC6"/>
    <w:rsid w:val="008A7E6E"/>
    <w:rsid w:val="008B0F44"/>
    <w:rsid w:val="008B1147"/>
    <w:rsid w:val="008B1E19"/>
    <w:rsid w:val="008B4E6B"/>
    <w:rsid w:val="008B6DFB"/>
    <w:rsid w:val="008C0E46"/>
    <w:rsid w:val="008C1098"/>
    <w:rsid w:val="008C1891"/>
    <w:rsid w:val="008C36C7"/>
    <w:rsid w:val="008D13B7"/>
    <w:rsid w:val="008D1905"/>
    <w:rsid w:val="008D33FD"/>
    <w:rsid w:val="008D759E"/>
    <w:rsid w:val="008D7931"/>
    <w:rsid w:val="008E09AE"/>
    <w:rsid w:val="008E66CC"/>
    <w:rsid w:val="008F30E1"/>
    <w:rsid w:val="008F59EC"/>
    <w:rsid w:val="008F6735"/>
    <w:rsid w:val="008F7C99"/>
    <w:rsid w:val="009004A3"/>
    <w:rsid w:val="00902AB0"/>
    <w:rsid w:val="00906022"/>
    <w:rsid w:val="00912EA1"/>
    <w:rsid w:val="00913B0C"/>
    <w:rsid w:val="009163A2"/>
    <w:rsid w:val="0091695F"/>
    <w:rsid w:val="00916AEA"/>
    <w:rsid w:val="009218E6"/>
    <w:rsid w:val="00922751"/>
    <w:rsid w:val="00924BBF"/>
    <w:rsid w:val="00925610"/>
    <w:rsid w:val="00926F4A"/>
    <w:rsid w:val="0092764E"/>
    <w:rsid w:val="009322C3"/>
    <w:rsid w:val="00933F0C"/>
    <w:rsid w:val="0094595C"/>
    <w:rsid w:val="00951DD8"/>
    <w:rsid w:val="0095269F"/>
    <w:rsid w:val="009528E7"/>
    <w:rsid w:val="00953A99"/>
    <w:rsid w:val="009568D5"/>
    <w:rsid w:val="00960F27"/>
    <w:rsid w:val="009626EB"/>
    <w:rsid w:val="00962F29"/>
    <w:rsid w:val="009644FC"/>
    <w:rsid w:val="00965171"/>
    <w:rsid w:val="009652FE"/>
    <w:rsid w:val="009662F3"/>
    <w:rsid w:val="00970502"/>
    <w:rsid w:val="00970CA3"/>
    <w:rsid w:val="009710FE"/>
    <w:rsid w:val="0097169C"/>
    <w:rsid w:val="00976733"/>
    <w:rsid w:val="009776CC"/>
    <w:rsid w:val="009802C4"/>
    <w:rsid w:val="009817F3"/>
    <w:rsid w:val="00983FF7"/>
    <w:rsid w:val="00991143"/>
    <w:rsid w:val="00992C54"/>
    <w:rsid w:val="00994E48"/>
    <w:rsid w:val="009954B1"/>
    <w:rsid w:val="009A0B42"/>
    <w:rsid w:val="009A172B"/>
    <w:rsid w:val="009A76F3"/>
    <w:rsid w:val="009B0642"/>
    <w:rsid w:val="009B1C41"/>
    <w:rsid w:val="009B6760"/>
    <w:rsid w:val="009C069C"/>
    <w:rsid w:val="009C0F0B"/>
    <w:rsid w:val="009C2CBD"/>
    <w:rsid w:val="009C3002"/>
    <w:rsid w:val="009C3CC2"/>
    <w:rsid w:val="009C64E2"/>
    <w:rsid w:val="009C6A85"/>
    <w:rsid w:val="009D1988"/>
    <w:rsid w:val="009D2BF8"/>
    <w:rsid w:val="009D520A"/>
    <w:rsid w:val="009D5557"/>
    <w:rsid w:val="009D73C9"/>
    <w:rsid w:val="009E062E"/>
    <w:rsid w:val="009E065E"/>
    <w:rsid w:val="009E1362"/>
    <w:rsid w:val="009E1D08"/>
    <w:rsid w:val="009E219A"/>
    <w:rsid w:val="009E38DA"/>
    <w:rsid w:val="009E48D5"/>
    <w:rsid w:val="009E56BC"/>
    <w:rsid w:val="009F3300"/>
    <w:rsid w:val="009F6709"/>
    <w:rsid w:val="00A0018D"/>
    <w:rsid w:val="00A0173F"/>
    <w:rsid w:val="00A01C2B"/>
    <w:rsid w:val="00A03907"/>
    <w:rsid w:val="00A05517"/>
    <w:rsid w:val="00A10111"/>
    <w:rsid w:val="00A102CC"/>
    <w:rsid w:val="00A10DBE"/>
    <w:rsid w:val="00A128EE"/>
    <w:rsid w:val="00A16BE8"/>
    <w:rsid w:val="00A26017"/>
    <w:rsid w:val="00A27162"/>
    <w:rsid w:val="00A303D1"/>
    <w:rsid w:val="00A30A0F"/>
    <w:rsid w:val="00A30AEF"/>
    <w:rsid w:val="00A320C8"/>
    <w:rsid w:val="00A37BED"/>
    <w:rsid w:val="00A43BAB"/>
    <w:rsid w:val="00A43D73"/>
    <w:rsid w:val="00A44097"/>
    <w:rsid w:val="00A45314"/>
    <w:rsid w:val="00A45FFF"/>
    <w:rsid w:val="00A50373"/>
    <w:rsid w:val="00A50B92"/>
    <w:rsid w:val="00A53DFE"/>
    <w:rsid w:val="00A5458B"/>
    <w:rsid w:val="00A56738"/>
    <w:rsid w:val="00A5795E"/>
    <w:rsid w:val="00A57A57"/>
    <w:rsid w:val="00A57D81"/>
    <w:rsid w:val="00A626F0"/>
    <w:rsid w:val="00A62CC3"/>
    <w:rsid w:val="00A634AE"/>
    <w:rsid w:val="00A65A72"/>
    <w:rsid w:val="00A71E40"/>
    <w:rsid w:val="00A7259F"/>
    <w:rsid w:val="00A75FEA"/>
    <w:rsid w:val="00A834E4"/>
    <w:rsid w:val="00A85FB9"/>
    <w:rsid w:val="00A86C32"/>
    <w:rsid w:val="00A90BF6"/>
    <w:rsid w:val="00A93C49"/>
    <w:rsid w:val="00A93C8B"/>
    <w:rsid w:val="00A9409C"/>
    <w:rsid w:val="00AA0722"/>
    <w:rsid w:val="00AA211B"/>
    <w:rsid w:val="00AA2EDE"/>
    <w:rsid w:val="00AA78C8"/>
    <w:rsid w:val="00AB0776"/>
    <w:rsid w:val="00AB0C8A"/>
    <w:rsid w:val="00AB1CDD"/>
    <w:rsid w:val="00AB2022"/>
    <w:rsid w:val="00AB48F0"/>
    <w:rsid w:val="00AB53F4"/>
    <w:rsid w:val="00AB54C7"/>
    <w:rsid w:val="00AB57DF"/>
    <w:rsid w:val="00AB60F5"/>
    <w:rsid w:val="00AB70DA"/>
    <w:rsid w:val="00AC1308"/>
    <w:rsid w:val="00AC231F"/>
    <w:rsid w:val="00AC28BA"/>
    <w:rsid w:val="00AC7403"/>
    <w:rsid w:val="00AC7E7E"/>
    <w:rsid w:val="00AD0581"/>
    <w:rsid w:val="00AD1474"/>
    <w:rsid w:val="00AD1515"/>
    <w:rsid w:val="00AD200C"/>
    <w:rsid w:val="00AD4133"/>
    <w:rsid w:val="00AD5029"/>
    <w:rsid w:val="00AD6A19"/>
    <w:rsid w:val="00AD6F46"/>
    <w:rsid w:val="00AE001D"/>
    <w:rsid w:val="00AE0CB3"/>
    <w:rsid w:val="00AE68ED"/>
    <w:rsid w:val="00AF2475"/>
    <w:rsid w:val="00AF34EE"/>
    <w:rsid w:val="00AF4699"/>
    <w:rsid w:val="00AF4AF9"/>
    <w:rsid w:val="00B001B0"/>
    <w:rsid w:val="00B01921"/>
    <w:rsid w:val="00B07625"/>
    <w:rsid w:val="00B07741"/>
    <w:rsid w:val="00B10DD4"/>
    <w:rsid w:val="00B1154A"/>
    <w:rsid w:val="00B134D2"/>
    <w:rsid w:val="00B162B5"/>
    <w:rsid w:val="00B17358"/>
    <w:rsid w:val="00B235AF"/>
    <w:rsid w:val="00B23BDD"/>
    <w:rsid w:val="00B24619"/>
    <w:rsid w:val="00B24CCA"/>
    <w:rsid w:val="00B2525D"/>
    <w:rsid w:val="00B2674D"/>
    <w:rsid w:val="00B30138"/>
    <w:rsid w:val="00B30FEF"/>
    <w:rsid w:val="00B31A71"/>
    <w:rsid w:val="00B339FE"/>
    <w:rsid w:val="00B35888"/>
    <w:rsid w:val="00B35A78"/>
    <w:rsid w:val="00B402D6"/>
    <w:rsid w:val="00B41710"/>
    <w:rsid w:val="00B45427"/>
    <w:rsid w:val="00B50256"/>
    <w:rsid w:val="00B53F13"/>
    <w:rsid w:val="00B56BAD"/>
    <w:rsid w:val="00B57987"/>
    <w:rsid w:val="00B71465"/>
    <w:rsid w:val="00B743B4"/>
    <w:rsid w:val="00B816B1"/>
    <w:rsid w:val="00B82126"/>
    <w:rsid w:val="00B84359"/>
    <w:rsid w:val="00B84B16"/>
    <w:rsid w:val="00B852BF"/>
    <w:rsid w:val="00B856C5"/>
    <w:rsid w:val="00B872D7"/>
    <w:rsid w:val="00B916EB"/>
    <w:rsid w:val="00B91A45"/>
    <w:rsid w:val="00B91F40"/>
    <w:rsid w:val="00B9348B"/>
    <w:rsid w:val="00B94B47"/>
    <w:rsid w:val="00B95D3C"/>
    <w:rsid w:val="00BA13E9"/>
    <w:rsid w:val="00BA15B3"/>
    <w:rsid w:val="00BA3E67"/>
    <w:rsid w:val="00BA5A42"/>
    <w:rsid w:val="00BB010D"/>
    <w:rsid w:val="00BB0B6B"/>
    <w:rsid w:val="00BB0EA9"/>
    <w:rsid w:val="00BB426A"/>
    <w:rsid w:val="00BB469E"/>
    <w:rsid w:val="00BB53ED"/>
    <w:rsid w:val="00BB615F"/>
    <w:rsid w:val="00BC0A42"/>
    <w:rsid w:val="00BC11D6"/>
    <w:rsid w:val="00BC2820"/>
    <w:rsid w:val="00BC550B"/>
    <w:rsid w:val="00BC580E"/>
    <w:rsid w:val="00BC68F8"/>
    <w:rsid w:val="00BD038A"/>
    <w:rsid w:val="00BD0DEC"/>
    <w:rsid w:val="00BD1874"/>
    <w:rsid w:val="00BD19DC"/>
    <w:rsid w:val="00BD1BD1"/>
    <w:rsid w:val="00BD3B26"/>
    <w:rsid w:val="00BD4434"/>
    <w:rsid w:val="00BD4653"/>
    <w:rsid w:val="00BD60F9"/>
    <w:rsid w:val="00BD610F"/>
    <w:rsid w:val="00BD6FBF"/>
    <w:rsid w:val="00BD7C57"/>
    <w:rsid w:val="00BE1543"/>
    <w:rsid w:val="00BE247E"/>
    <w:rsid w:val="00BE5DF8"/>
    <w:rsid w:val="00BF0428"/>
    <w:rsid w:val="00BF1F51"/>
    <w:rsid w:val="00BF3500"/>
    <w:rsid w:val="00BF3E6D"/>
    <w:rsid w:val="00BF535B"/>
    <w:rsid w:val="00BF5DF9"/>
    <w:rsid w:val="00BF757E"/>
    <w:rsid w:val="00C0050F"/>
    <w:rsid w:val="00C02E2B"/>
    <w:rsid w:val="00C039D1"/>
    <w:rsid w:val="00C042F2"/>
    <w:rsid w:val="00C04D77"/>
    <w:rsid w:val="00C0521B"/>
    <w:rsid w:val="00C0626D"/>
    <w:rsid w:val="00C068F0"/>
    <w:rsid w:val="00C103AE"/>
    <w:rsid w:val="00C14778"/>
    <w:rsid w:val="00C15175"/>
    <w:rsid w:val="00C15432"/>
    <w:rsid w:val="00C1600F"/>
    <w:rsid w:val="00C253AF"/>
    <w:rsid w:val="00C25833"/>
    <w:rsid w:val="00C26D60"/>
    <w:rsid w:val="00C37966"/>
    <w:rsid w:val="00C40E9A"/>
    <w:rsid w:val="00C4181A"/>
    <w:rsid w:val="00C41BEC"/>
    <w:rsid w:val="00C421F3"/>
    <w:rsid w:val="00C453FD"/>
    <w:rsid w:val="00C47157"/>
    <w:rsid w:val="00C52D87"/>
    <w:rsid w:val="00C544E6"/>
    <w:rsid w:val="00C55820"/>
    <w:rsid w:val="00C55BD2"/>
    <w:rsid w:val="00C5650A"/>
    <w:rsid w:val="00C56B1E"/>
    <w:rsid w:val="00C6389E"/>
    <w:rsid w:val="00C64C32"/>
    <w:rsid w:val="00C662D1"/>
    <w:rsid w:val="00C6660D"/>
    <w:rsid w:val="00C667EF"/>
    <w:rsid w:val="00C67A6A"/>
    <w:rsid w:val="00C67CDC"/>
    <w:rsid w:val="00C67FC3"/>
    <w:rsid w:val="00C70281"/>
    <w:rsid w:val="00C7072C"/>
    <w:rsid w:val="00C73AC0"/>
    <w:rsid w:val="00C73D3F"/>
    <w:rsid w:val="00C75757"/>
    <w:rsid w:val="00C8079B"/>
    <w:rsid w:val="00C8326B"/>
    <w:rsid w:val="00C8427E"/>
    <w:rsid w:val="00C86DFA"/>
    <w:rsid w:val="00C909E6"/>
    <w:rsid w:val="00C930A6"/>
    <w:rsid w:val="00C93210"/>
    <w:rsid w:val="00C94266"/>
    <w:rsid w:val="00C965BA"/>
    <w:rsid w:val="00CA1710"/>
    <w:rsid w:val="00CA1C5E"/>
    <w:rsid w:val="00CA2505"/>
    <w:rsid w:val="00CA3AA2"/>
    <w:rsid w:val="00CA4350"/>
    <w:rsid w:val="00CA61C5"/>
    <w:rsid w:val="00CA6B79"/>
    <w:rsid w:val="00CA6F6B"/>
    <w:rsid w:val="00CA74C8"/>
    <w:rsid w:val="00CA7F29"/>
    <w:rsid w:val="00CB19EE"/>
    <w:rsid w:val="00CB27C8"/>
    <w:rsid w:val="00CB5AAE"/>
    <w:rsid w:val="00CB5CEA"/>
    <w:rsid w:val="00CB6339"/>
    <w:rsid w:val="00CB782E"/>
    <w:rsid w:val="00CC0BDC"/>
    <w:rsid w:val="00CC2B97"/>
    <w:rsid w:val="00CC2F7E"/>
    <w:rsid w:val="00CC5EE0"/>
    <w:rsid w:val="00CC7DEA"/>
    <w:rsid w:val="00CC7FBA"/>
    <w:rsid w:val="00CD35DA"/>
    <w:rsid w:val="00CD3BDF"/>
    <w:rsid w:val="00CD4CE8"/>
    <w:rsid w:val="00CD5DF3"/>
    <w:rsid w:val="00CD6B05"/>
    <w:rsid w:val="00CD7D4A"/>
    <w:rsid w:val="00CE0540"/>
    <w:rsid w:val="00CE1523"/>
    <w:rsid w:val="00CE1DF2"/>
    <w:rsid w:val="00CE7433"/>
    <w:rsid w:val="00CF069E"/>
    <w:rsid w:val="00CF3B7F"/>
    <w:rsid w:val="00CF49A8"/>
    <w:rsid w:val="00CF4FC4"/>
    <w:rsid w:val="00CF4FEA"/>
    <w:rsid w:val="00CF563B"/>
    <w:rsid w:val="00D0070F"/>
    <w:rsid w:val="00D00B60"/>
    <w:rsid w:val="00D00CBD"/>
    <w:rsid w:val="00D012C1"/>
    <w:rsid w:val="00D03599"/>
    <w:rsid w:val="00D03C35"/>
    <w:rsid w:val="00D07B35"/>
    <w:rsid w:val="00D1190F"/>
    <w:rsid w:val="00D12D8C"/>
    <w:rsid w:val="00D17812"/>
    <w:rsid w:val="00D22089"/>
    <w:rsid w:val="00D234F7"/>
    <w:rsid w:val="00D2352B"/>
    <w:rsid w:val="00D23BF3"/>
    <w:rsid w:val="00D2631C"/>
    <w:rsid w:val="00D27072"/>
    <w:rsid w:val="00D3036C"/>
    <w:rsid w:val="00D35544"/>
    <w:rsid w:val="00D50BA7"/>
    <w:rsid w:val="00D50D80"/>
    <w:rsid w:val="00D51495"/>
    <w:rsid w:val="00D5279E"/>
    <w:rsid w:val="00D53212"/>
    <w:rsid w:val="00D544D5"/>
    <w:rsid w:val="00D54C2E"/>
    <w:rsid w:val="00D55D02"/>
    <w:rsid w:val="00D573F0"/>
    <w:rsid w:val="00D57EF5"/>
    <w:rsid w:val="00D60571"/>
    <w:rsid w:val="00D61280"/>
    <w:rsid w:val="00D6375F"/>
    <w:rsid w:val="00D65BF7"/>
    <w:rsid w:val="00D7324D"/>
    <w:rsid w:val="00D738DB"/>
    <w:rsid w:val="00D74894"/>
    <w:rsid w:val="00D75332"/>
    <w:rsid w:val="00D75485"/>
    <w:rsid w:val="00D82502"/>
    <w:rsid w:val="00D93BC3"/>
    <w:rsid w:val="00D93E72"/>
    <w:rsid w:val="00D94AE9"/>
    <w:rsid w:val="00D96CA1"/>
    <w:rsid w:val="00D97C99"/>
    <w:rsid w:val="00DA362F"/>
    <w:rsid w:val="00DA6B1A"/>
    <w:rsid w:val="00DA70C7"/>
    <w:rsid w:val="00DA7DBF"/>
    <w:rsid w:val="00DB1A15"/>
    <w:rsid w:val="00DB1F91"/>
    <w:rsid w:val="00DB41C0"/>
    <w:rsid w:val="00DB4922"/>
    <w:rsid w:val="00DB4A5A"/>
    <w:rsid w:val="00DC3000"/>
    <w:rsid w:val="00DD0A56"/>
    <w:rsid w:val="00DD5CC9"/>
    <w:rsid w:val="00DE160D"/>
    <w:rsid w:val="00DE2C24"/>
    <w:rsid w:val="00DE47E7"/>
    <w:rsid w:val="00DE6B94"/>
    <w:rsid w:val="00DE74E4"/>
    <w:rsid w:val="00DE7A5B"/>
    <w:rsid w:val="00DF19BF"/>
    <w:rsid w:val="00DF4AB0"/>
    <w:rsid w:val="00DF611A"/>
    <w:rsid w:val="00E016CB"/>
    <w:rsid w:val="00E0472C"/>
    <w:rsid w:val="00E106D2"/>
    <w:rsid w:val="00E1460F"/>
    <w:rsid w:val="00E154BC"/>
    <w:rsid w:val="00E237A4"/>
    <w:rsid w:val="00E24838"/>
    <w:rsid w:val="00E25A1F"/>
    <w:rsid w:val="00E265EA"/>
    <w:rsid w:val="00E2733F"/>
    <w:rsid w:val="00E3390A"/>
    <w:rsid w:val="00E376D0"/>
    <w:rsid w:val="00E40D85"/>
    <w:rsid w:val="00E41CB3"/>
    <w:rsid w:val="00E4200D"/>
    <w:rsid w:val="00E429C6"/>
    <w:rsid w:val="00E43324"/>
    <w:rsid w:val="00E508D6"/>
    <w:rsid w:val="00E51028"/>
    <w:rsid w:val="00E510DF"/>
    <w:rsid w:val="00E5158E"/>
    <w:rsid w:val="00E51F19"/>
    <w:rsid w:val="00E53902"/>
    <w:rsid w:val="00E54679"/>
    <w:rsid w:val="00E567AB"/>
    <w:rsid w:val="00E57FAD"/>
    <w:rsid w:val="00E60C20"/>
    <w:rsid w:val="00E61581"/>
    <w:rsid w:val="00E61E96"/>
    <w:rsid w:val="00E64A65"/>
    <w:rsid w:val="00E64BC2"/>
    <w:rsid w:val="00E657CE"/>
    <w:rsid w:val="00E65DCA"/>
    <w:rsid w:val="00E6750F"/>
    <w:rsid w:val="00E6795F"/>
    <w:rsid w:val="00E71510"/>
    <w:rsid w:val="00E72A7C"/>
    <w:rsid w:val="00E72DCB"/>
    <w:rsid w:val="00E7310F"/>
    <w:rsid w:val="00E73504"/>
    <w:rsid w:val="00E73718"/>
    <w:rsid w:val="00E73C31"/>
    <w:rsid w:val="00E74B2B"/>
    <w:rsid w:val="00E76947"/>
    <w:rsid w:val="00E8156A"/>
    <w:rsid w:val="00E86309"/>
    <w:rsid w:val="00E90120"/>
    <w:rsid w:val="00E9102A"/>
    <w:rsid w:val="00E91D37"/>
    <w:rsid w:val="00E923B6"/>
    <w:rsid w:val="00E92E32"/>
    <w:rsid w:val="00E942FF"/>
    <w:rsid w:val="00E9716A"/>
    <w:rsid w:val="00E97450"/>
    <w:rsid w:val="00E979A3"/>
    <w:rsid w:val="00E97FB9"/>
    <w:rsid w:val="00EA1A6F"/>
    <w:rsid w:val="00EA22F8"/>
    <w:rsid w:val="00EA56C7"/>
    <w:rsid w:val="00EA57C7"/>
    <w:rsid w:val="00EA6BF4"/>
    <w:rsid w:val="00EB4F70"/>
    <w:rsid w:val="00EB5B1A"/>
    <w:rsid w:val="00EC09DC"/>
    <w:rsid w:val="00EC143F"/>
    <w:rsid w:val="00EC2A85"/>
    <w:rsid w:val="00EC591E"/>
    <w:rsid w:val="00ED572A"/>
    <w:rsid w:val="00ED6367"/>
    <w:rsid w:val="00EE32E5"/>
    <w:rsid w:val="00EF0178"/>
    <w:rsid w:val="00EF1C98"/>
    <w:rsid w:val="00EF2987"/>
    <w:rsid w:val="00EF42ED"/>
    <w:rsid w:val="00EF6352"/>
    <w:rsid w:val="00EF6869"/>
    <w:rsid w:val="00EF78B9"/>
    <w:rsid w:val="00F00D25"/>
    <w:rsid w:val="00F02714"/>
    <w:rsid w:val="00F02A71"/>
    <w:rsid w:val="00F033AE"/>
    <w:rsid w:val="00F05DDF"/>
    <w:rsid w:val="00F0605E"/>
    <w:rsid w:val="00F0725C"/>
    <w:rsid w:val="00F11CAC"/>
    <w:rsid w:val="00F2537B"/>
    <w:rsid w:val="00F25877"/>
    <w:rsid w:val="00F26B3B"/>
    <w:rsid w:val="00F27E80"/>
    <w:rsid w:val="00F30D07"/>
    <w:rsid w:val="00F310EB"/>
    <w:rsid w:val="00F324F6"/>
    <w:rsid w:val="00F32F19"/>
    <w:rsid w:val="00F43131"/>
    <w:rsid w:val="00F43172"/>
    <w:rsid w:val="00F43686"/>
    <w:rsid w:val="00F56F15"/>
    <w:rsid w:val="00F57810"/>
    <w:rsid w:val="00F60178"/>
    <w:rsid w:val="00F60B95"/>
    <w:rsid w:val="00F635D1"/>
    <w:rsid w:val="00F6660F"/>
    <w:rsid w:val="00F7321F"/>
    <w:rsid w:val="00F749E9"/>
    <w:rsid w:val="00F749FA"/>
    <w:rsid w:val="00F7713E"/>
    <w:rsid w:val="00F7729D"/>
    <w:rsid w:val="00F81A26"/>
    <w:rsid w:val="00F86CF9"/>
    <w:rsid w:val="00F87EF1"/>
    <w:rsid w:val="00F9030A"/>
    <w:rsid w:val="00F94316"/>
    <w:rsid w:val="00F95582"/>
    <w:rsid w:val="00F96CF9"/>
    <w:rsid w:val="00F971F9"/>
    <w:rsid w:val="00F973BE"/>
    <w:rsid w:val="00FA621A"/>
    <w:rsid w:val="00FB21AB"/>
    <w:rsid w:val="00FB252B"/>
    <w:rsid w:val="00FB3F9C"/>
    <w:rsid w:val="00FB4638"/>
    <w:rsid w:val="00FB5BA6"/>
    <w:rsid w:val="00FB5DBD"/>
    <w:rsid w:val="00FB6118"/>
    <w:rsid w:val="00FB74E5"/>
    <w:rsid w:val="00FC243D"/>
    <w:rsid w:val="00FC27EF"/>
    <w:rsid w:val="00FC3346"/>
    <w:rsid w:val="00FC4F90"/>
    <w:rsid w:val="00FC5A20"/>
    <w:rsid w:val="00FC678D"/>
    <w:rsid w:val="00FC6C48"/>
    <w:rsid w:val="00FC7508"/>
    <w:rsid w:val="00FD3513"/>
    <w:rsid w:val="00FD38BE"/>
    <w:rsid w:val="00FD413C"/>
    <w:rsid w:val="00FD56A8"/>
    <w:rsid w:val="00FD6BFB"/>
    <w:rsid w:val="00FD7135"/>
    <w:rsid w:val="00FE0754"/>
    <w:rsid w:val="00FE0986"/>
    <w:rsid w:val="00FE0C28"/>
    <w:rsid w:val="00FE201F"/>
    <w:rsid w:val="00FE60E4"/>
    <w:rsid w:val="00FF24D0"/>
    <w:rsid w:val="00FF7292"/>
    <w:rsid w:val="012F5ABF"/>
    <w:rsid w:val="01C876AA"/>
    <w:rsid w:val="026C126D"/>
    <w:rsid w:val="02A14EBF"/>
    <w:rsid w:val="02A70732"/>
    <w:rsid w:val="02F73322"/>
    <w:rsid w:val="03140F5D"/>
    <w:rsid w:val="03B42C09"/>
    <w:rsid w:val="03C52BEB"/>
    <w:rsid w:val="03E11877"/>
    <w:rsid w:val="04175D73"/>
    <w:rsid w:val="042370B0"/>
    <w:rsid w:val="043C18DA"/>
    <w:rsid w:val="04F62D89"/>
    <w:rsid w:val="04F90C5B"/>
    <w:rsid w:val="0526052D"/>
    <w:rsid w:val="055B3806"/>
    <w:rsid w:val="05BA587D"/>
    <w:rsid w:val="06B92346"/>
    <w:rsid w:val="074D06A7"/>
    <w:rsid w:val="077E1A2E"/>
    <w:rsid w:val="0871310C"/>
    <w:rsid w:val="08C04C7F"/>
    <w:rsid w:val="08D0791E"/>
    <w:rsid w:val="08EB76B2"/>
    <w:rsid w:val="098977C5"/>
    <w:rsid w:val="09A6701A"/>
    <w:rsid w:val="0A757209"/>
    <w:rsid w:val="0B2D3B44"/>
    <w:rsid w:val="0B4165BF"/>
    <w:rsid w:val="0D032AC9"/>
    <w:rsid w:val="0E0727F7"/>
    <w:rsid w:val="0E86645B"/>
    <w:rsid w:val="0F406DC0"/>
    <w:rsid w:val="0F68129E"/>
    <w:rsid w:val="0F7B7251"/>
    <w:rsid w:val="0F956BB3"/>
    <w:rsid w:val="0FE33462"/>
    <w:rsid w:val="10806E80"/>
    <w:rsid w:val="108C5D89"/>
    <w:rsid w:val="10B02EF5"/>
    <w:rsid w:val="117B2B3A"/>
    <w:rsid w:val="11E42DD6"/>
    <w:rsid w:val="136F4C00"/>
    <w:rsid w:val="138E27F6"/>
    <w:rsid w:val="14067011"/>
    <w:rsid w:val="140F0ADF"/>
    <w:rsid w:val="143038B0"/>
    <w:rsid w:val="14427127"/>
    <w:rsid w:val="149E346C"/>
    <w:rsid w:val="14FC3F92"/>
    <w:rsid w:val="15050A58"/>
    <w:rsid w:val="15393BE2"/>
    <w:rsid w:val="155C44C4"/>
    <w:rsid w:val="15657DF7"/>
    <w:rsid w:val="15BA6530"/>
    <w:rsid w:val="169D0A70"/>
    <w:rsid w:val="170830C2"/>
    <w:rsid w:val="173407BF"/>
    <w:rsid w:val="17D60E0D"/>
    <w:rsid w:val="17F748C3"/>
    <w:rsid w:val="19186690"/>
    <w:rsid w:val="194F4778"/>
    <w:rsid w:val="195B1C0C"/>
    <w:rsid w:val="1A9054B7"/>
    <w:rsid w:val="1B46065D"/>
    <w:rsid w:val="1C2D4ACB"/>
    <w:rsid w:val="1C6460C3"/>
    <w:rsid w:val="1C7747C1"/>
    <w:rsid w:val="1CD13B20"/>
    <w:rsid w:val="1CEE1092"/>
    <w:rsid w:val="1D3439AD"/>
    <w:rsid w:val="1DB75743"/>
    <w:rsid w:val="1DCC4CA7"/>
    <w:rsid w:val="1DDF93D5"/>
    <w:rsid w:val="1E1F2FC3"/>
    <w:rsid w:val="1EA35B1D"/>
    <w:rsid w:val="1EB3718E"/>
    <w:rsid w:val="1F271DA9"/>
    <w:rsid w:val="1F4067B6"/>
    <w:rsid w:val="1F4B5296"/>
    <w:rsid w:val="202224CF"/>
    <w:rsid w:val="2054682E"/>
    <w:rsid w:val="20954272"/>
    <w:rsid w:val="20B956A9"/>
    <w:rsid w:val="211424A6"/>
    <w:rsid w:val="21287CF4"/>
    <w:rsid w:val="215C298E"/>
    <w:rsid w:val="216A47D3"/>
    <w:rsid w:val="217A5EAC"/>
    <w:rsid w:val="219737E6"/>
    <w:rsid w:val="219A0DBB"/>
    <w:rsid w:val="21BD554F"/>
    <w:rsid w:val="22064758"/>
    <w:rsid w:val="22800ACB"/>
    <w:rsid w:val="22E06CA1"/>
    <w:rsid w:val="2304572A"/>
    <w:rsid w:val="23496F3C"/>
    <w:rsid w:val="234E6301"/>
    <w:rsid w:val="23CE0B11"/>
    <w:rsid w:val="240055F7"/>
    <w:rsid w:val="24BC5170"/>
    <w:rsid w:val="25A0381A"/>
    <w:rsid w:val="25EA4D80"/>
    <w:rsid w:val="27D767A4"/>
    <w:rsid w:val="289753A4"/>
    <w:rsid w:val="28E13773"/>
    <w:rsid w:val="28E904F4"/>
    <w:rsid w:val="29151100"/>
    <w:rsid w:val="298C363F"/>
    <w:rsid w:val="2B1A6B75"/>
    <w:rsid w:val="2B73066C"/>
    <w:rsid w:val="2BC86E77"/>
    <w:rsid w:val="2BF3FD9B"/>
    <w:rsid w:val="2C150027"/>
    <w:rsid w:val="2CC82C80"/>
    <w:rsid w:val="2CFE66A2"/>
    <w:rsid w:val="2D12039F"/>
    <w:rsid w:val="2D1475E7"/>
    <w:rsid w:val="2D23621B"/>
    <w:rsid w:val="2D690B1A"/>
    <w:rsid w:val="2DF258DA"/>
    <w:rsid w:val="2DFB3102"/>
    <w:rsid w:val="2EC70D9B"/>
    <w:rsid w:val="2F462582"/>
    <w:rsid w:val="2F77273B"/>
    <w:rsid w:val="2FF6687B"/>
    <w:rsid w:val="303765B7"/>
    <w:rsid w:val="30CE16BB"/>
    <w:rsid w:val="311A098E"/>
    <w:rsid w:val="31233EC1"/>
    <w:rsid w:val="328E2276"/>
    <w:rsid w:val="329B3363"/>
    <w:rsid w:val="32C36DD3"/>
    <w:rsid w:val="32EA1693"/>
    <w:rsid w:val="3344327C"/>
    <w:rsid w:val="33933668"/>
    <w:rsid w:val="33B51A84"/>
    <w:rsid w:val="33EE7EA3"/>
    <w:rsid w:val="34455B72"/>
    <w:rsid w:val="347E6BF2"/>
    <w:rsid w:val="357221D3"/>
    <w:rsid w:val="35FB4B12"/>
    <w:rsid w:val="36147356"/>
    <w:rsid w:val="3634460D"/>
    <w:rsid w:val="375B066E"/>
    <w:rsid w:val="376C4B50"/>
    <w:rsid w:val="37875425"/>
    <w:rsid w:val="37D00A3D"/>
    <w:rsid w:val="37FF3009"/>
    <w:rsid w:val="3825542A"/>
    <w:rsid w:val="38993922"/>
    <w:rsid w:val="38A97DD1"/>
    <w:rsid w:val="38C70411"/>
    <w:rsid w:val="39693206"/>
    <w:rsid w:val="3A814B24"/>
    <w:rsid w:val="3AB71A73"/>
    <w:rsid w:val="3B4E14F1"/>
    <w:rsid w:val="3C4D0931"/>
    <w:rsid w:val="3CA12DF7"/>
    <w:rsid w:val="3CB12D86"/>
    <w:rsid w:val="3CB57FBE"/>
    <w:rsid w:val="3CFD60B1"/>
    <w:rsid w:val="3D322C13"/>
    <w:rsid w:val="3D7F0EB1"/>
    <w:rsid w:val="3E277BD4"/>
    <w:rsid w:val="3F1FB112"/>
    <w:rsid w:val="3FA76C27"/>
    <w:rsid w:val="3FDB1CAA"/>
    <w:rsid w:val="3FDC3C6F"/>
    <w:rsid w:val="3FEF3675"/>
    <w:rsid w:val="3FFF73C6"/>
    <w:rsid w:val="401C4A11"/>
    <w:rsid w:val="40241336"/>
    <w:rsid w:val="403717F6"/>
    <w:rsid w:val="410E3720"/>
    <w:rsid w:val="419E0C7E"/>
    <w:rsid w:val="41A844F4"/>
    <w:rsid w:val="42884165"/>
    <w:rsid w:val="42D92006"/>
    <w:rsid w:val="431D3D71"/>
    <w:rsid w:val="43725CC6"/>
    <w:rsid w:val="43866F99"/>
    <w:rsid w:val="43F26A51"/>
    <w:rsid w:val="43F9567F"/>
    <w:rsid w:val="43FE8AF1"/>
    <w:rsid w:val="44291813"/>
    <w:rsid w:val="443608B0"/>
    <w:rsid w:val="44415A5D"/>
    <w:rsid w:val="44BB7A55"/>
    <w:rsid w:val="44DF4806"/>
    <w:rsid w:val="45DA6792"/>
    <w:rsid w:val="47A06B77"/>
    <w:rsid w:val="481C265D"/>
    <w:rsid w:val="482705B8"/>
    <w:rsid w:val="486F44A0"/>
    <w:rsid w:val="487974BD"/>
    <w:rsid w:val="49B67164"/>
    <w:rsid w:val="49FB4822"/>
    <w:rsid w:val="4A70502C"/>
    <w:rsid w:val="4A9D2AB4"/>
    <w:rsid w:val="4AB7304C"/>
    <w:rsid w:val="4B9423F1"/>
    <w:rsid w:val="4CEF31BA"/>
    <w:rsid w:val="4D0B60AB"/>
    <w:rsid w:val="4D294E8D"/>
    <w:rsid w:val="4EB4216F"/>
    <w:rsid w:val="4FBF034B"/>
    <w:rsid w:val="4FF81D2A"/>
    <w:rsid w:val="507E1528"/>
    <w:rsid w:val="524D11BE"/>
    <w:rsid w:val="52670A96"/>
    <w:rsid w:val="53153F02"/>
    <w:rsid w:val="536B275A"/>
    <w:rsid w:val="54A90314"/>
    <w:rsid w:val="54E147ED"/>
    <w:rsid w:val="54E53862"/>
    <w:rsid w:val="55ECE74D"/>
    <w:rsid w:val="55FF8815"/>
    <w:rsid w:val="560703F0"/>
    <w:rsid w:val="56D577C2"/>
    <w:rsid w:val="57291C06"/>
    <w:rsid w:val="57C84839"/>
    <w:rsid w:val="57CA671C"/>
    <w:rsid w:val="585D4277"/>
    <w:rsid w:val="58607961"/>
    <w:rsid w:val="58864262"/>
    <w:rsid w:val="58A81A34"/>
    <w:rsid w:val="595A6B72"/>
    <w:rsid w:val="5A55738A"/>
    <w:rsid w:val="5A7A0667"/>
    <w:rsid w:val="5B2C4378"/>
    <w:rsid w:val="5BB573ED"/>
    <w:rsid w:val="5BBFFF4C"/>
    <w:rsid w:val="5BC70F12"/>
    <w:rsid w:val="5BD703B0"/>
    <w:rsid w:val="5BFFFC38"/>
    <w:rsid w:val="5C653798"/>
    <w:rsid w:val="5CA7463C"/>
    <w:rsid w:val="5CF76AE6"/>
    <w:rsid w:val="5D4B3DF3"/>
    <w:rsid w:val="5D4D7738"/>
    <w:rsid w:val="5DA3DE08"/>
    <w:rsid w:val="5DEA21A7"/>
    <w:rsid w:val="5DFE3EA4"/>
    <w:rsid w:val="5E2F3A44"/>
    <w:rsid w:val="5E8879BA"/>
    <w:rsid w:val="5EE57C39"/>
    <w:rsid w:val="5FEB7175"/>
    <w:rsid w:val="5FF39ACC"/>
    <w:rsid w:val="5FF72FCF"/>
    <w:rsid w:val="602776E2"/>
    <w:rsid w:val="605D1C0D"/>
    <w:rsid w:val="615E35D4"/>
    <w:rsid w:val="6167070F"/>
    <w:rsid w:val="618A0A3F"/>
    <w:rsid w:val="620954D1"/>
    <w:rsid w:val="624D71A8"/>
    <w:rsid w:val="628A7AC1"/>
    <w:rsid w:val="62A352B0"/>
    <w:rsid w:val="62AF7E63"/>
    <w:rsid w:val="62DD22DA"/>
    <w:rsid w:val="63381BBF"/>
    <w:rsid w:val="637E29E2"/>
    <w:rsid w:val="63E0650B"/>
    <w:rsid w:val="6429154F"/>
    <w:rsid w:val="6521589B"/>
    <w:rsid w:val="65A02F31"/>
    <w:rsid w:val="65C26D09"/>
    <w:rsid w:val="66024823"/>
    <w:rsid w:val="66974E96"/>
    <w:rsid w:val="66C4469F"/>
    <w:rsid w:val="675E4AC0"/>
    <w:rsid w:val="67862898"/>
    <w:rsid w:val="6798632D"/>
    <w:rsid w:val="67BF276E"/>
    <w:rsid w:val="680227E3"/>
    <w:rsid w:val="684C7337"/>
    <w:rsid w:val="685E6670"/>
    <w:rsid w:val="692775F8"/>
    <w:rsid w:val="695234DD"/>
    <w:rsid w:val="69574EC3"/>
    <w:rsid w:val="697E1EAD"/>
    <w:rsid w:val="69FF2393"/>
    <w:rsid w:val="6ABF2AFB"/>
    <w:rsid w:val="6AD9782B"/>
    <w:rsid w:val="6AF9A393"/>
    <w:rsid w:val="6B132D8F"/>
    <w:rsid w:val="6B3D9B9F"/>
    <w:rsid w:val="6B50072F"/>
    <w:rsid w:val="6B581C23"/>
    <w:rsid w:val="6C3F6E0F"/>
    <w:rsid w:val="6D277236"/>
    <w:rsid w:val="6D315BEC"/>
    <w:rsid w:val="6D9C5346"/>
    <w:rsid w:val="6DA25CE3"/>
    <w:rsid w:val="6DA66302"/>
    <w:rsid w:val="6DCEE617"/>
    <w:rsid w:val="6DF7DCED"/>
    <w:rsid w:val="6E003712"/>
    <w:rsid w:val="6EB70330"/>
    <w:rsid w:val="6ED7851C"/>
    <w:rsid w:val="6EF26B3A"/>
    <w:rsid w:val="6EFB0009"/>
    <w:rsid w:val="6F071318"/>
    <w:rsid w:val="6F213E96"/>
    <w:rsid w:val="6F3145A7"/>
    <w:rsid w:val="6F767D3E"/>
    <w:rsid w:val="6FAE1165"/>
    <w:rsid w:val="6FB7092B"/>
    <w:rsid w:val="6FEFE4A5"/>
    <w:rsid w:val="6FF5294E"/>
    <w:rsid w:val="6FFD636C"/>
    <w:rsid w:val="7083662B"/>
    <w:rsid w:val="708666B6"/>
    <w:rsid w:val="70D432C6"/>
    <w:rsid w:val="70E47D77"/>
    <w:rsid w:val="70FFA91F"/>
    <w:rsid w:val="7131029F"/>
    <w:rsid w:val="714B47F5"/>
    <w:rsid w:val="716842C2"/>
    <w:rsid w:val="71BE43FF"/>
    <w:rsid w:val="71BF3932"/>
    <w:rsid w:val="71CD36FF"/>
    <w:rsid w:val="7214311F"/>
    <w:rsid w:val="7314621A"/>
    <w:rsid w:val="73BE4993"/>
    <w:rsid w:val="740E5569"/>
    <w:rsid w:val="740F7F59"/>
    <w:rsid w:val="74571CAC"/>
    <w:rsid w:val="74970799"/>
    <w:rsid w:val="74D06F01"/>
    <w:rsid w:val="74D20F1F"/>
    <w:rsid w:val="75704D25"/>
    <w:rsid w:val="75C76838"/>
    <w:rsid w:val="75D54D48"/>
    <w:rsid w:val="7645101A"/>
    <w:rsid w:val="765BE74F"/>
    <w:rsid w:val="769B0A3B"/>
    <w:rsid w:val="76D35A76"/>
    <w:rsid w:val="77037615"/>
    <w:rsid w:val="773369AD"/>
    <w:rsid w:val="774B2FA4"/>
    <w:rsid w:val="776D70BA"/>
    <w:rsid w:val="776F7F63"/>
    <w:rsid w:val="779D12B3"/>
    <w:rsid w:val="77E3A1CF"/>
    <w:rsid w:val="77FF5A3E"/>
    <w:rsid w:val="781263EC"/>
    <w:rsid w:val="78205BB0"/>
    <w:rsid w:val="783B47F8"/>
    <w:rsid w:val="78BFA2C7"/>
    <w:rsid w:val="79382438"/>
    <w:rsid w:val="797F01E3"/>
    <w:rsid w:val="79AC0800"/>
    <w:rsid w:val="79C27A3B"/>
    <w:rsid w:val="79EB4E65"/>
    <w:rsid w:val="7A56204E"/>
    <w:rsid w:val="7AAF1144"/>
    <w:rsid w:val="7ABDFFB7"/>
    <w:rsid w:val="7AEF1853"/>
    <w:rsid w:val="7BB52D71"/>
    <w:rsid w:val="7BE232DB"/>
    <w:rsid w:val="7BFF890C"/>
    <w:rsid w:val="7C6E0CB7"/>
    <w:rsid w:val="7CAF6EA9"/>
    <w:rsid w:val="7CB15B49"/>
    <w:rsid w:val="7CDF0B46"/>
    <w:rsid w:val="7CFFD46C"/>
    <w:rsid w:val="7D10130D"/>
    <w:rsid w:val="7D513B99"/>
    <w:rsid w:val="7D5E1E12"/>
    <w:rsid w:val="7D6C5A84"/>
    <w:rsid w:val="7D7004C3"/>
    <w:rsid w:val="7DF6045B"/>
    <w:rsid w:val="7E37408F"/>
    <w:rsid w:val="7E4B4A8C"/>
    <w:rsid w:val="7E8E221B"/>
    <w:rsid w:val="7F97BDCA"/>
    <w:rsid w:val="7FBFE75C"/>
    <w:rsid w:val="7FCC885F"/>
    <w:rsid w:val="7FCF8500"/>
    <w:rsid w:val="7FD85EAB"/>
    <w:rsid w:val="7FEF9373"/>
    <w:rsid w:val="7FF6037D"/>
    <w:rsid w:val="7FFBA3A3"/>
    <w:rsid w:val="81F70092"/>
    <w:rsid w:val="8ADEA115"/>
    <w:rsid w:val="93CA0A3B"/>
    <w:rsid w:val="99EFFEA7"/>
    <w:rsid w:val="AF3AE4B9"/>
    <w:rsid w:val="AF7B6041"/>
    <w:rsid w:val="B1EFEFF3"/>
    <w:rsid w:val="B5FABD0F"/>
    <w:rsid w:val="B7A91BE1"/>
    <w:rsid w:val="B9F1A77D"/>
    <w:rsid w:val="BAFD4FEF"/>
    <w:rsid w:val="BCEBD342"/>
    <w:rsid w:val="BE5FBF3B"/>
    <w:rsid w:val="BF7407D3"/>
    <w:rsid w:val="BFDF4572"/>
    <w:rsid w:val="BFFAE598"/>
    <w:rsid w:val="CEFE6FBC"/>
    <w:rsid w:val="CFEF2F90"/>
    <w:rsid w:val="D53F7B5F"/>
    <w:rsid w:val="DA7F7D44"/>
    <w:rsid w:val="DA9E8C05"/>
    <w:rsid w:val="DCDECA13"/>
    <w:rsid w:val="DDFD5CAA"/>
    <w:rsid w:val="DFFBCBC6"/>
    <w:rsid w:val="E77545B2"/>
    <w:rsid w:val="EAEFFC9D"/>
    <w:rsid w:val="EBFF7AC0"/>
    <w:rsid w:val="EE3EB33A"/>
    <w:rsid w:val="EFDD171C"/>
    <w:rsid w:val="EFEF69D6"/>
    <w:rsid w:val="F25FB201"/>
    <w:rsid w:val="F3F93E92"/>
    <w:rsid w:val="F3FB79FD"/>
    <w:rsid w:val="F53E6959"/>
    <w:rsid w:val="F7B9861F"/>
    <w:rsid w:val="F7BA33B5"/>
    <w:rsid w:val="F7EF6B13"/>
    <w:rsid w:val="F9D777D8"/>
    <w:rsid w:val="FAFB4651"/>
    <w:rsid w:val="FBB715DB"/>
    <w:rsid w:val="FBCA4D3B"/>
    <w:rsid w:val="FCDFBE88"/>
    <w:rsid w:val="FCF6F164"/>
    <w:rsid w:val="FD7FE579"/>
    <w:rsid w:val="FDD1D824"/>
    <w:rsid w:val="FDFF368D"/>
    <w:rsid w:val="FDFF3C88"/>
    <w:rsid w:val="FEDCF45D"/>
    <w:rsid w:val="FEE9C2E0"/>
    <w:rsid w:val="FEFBE33E"/>
    <w:rsid w:val="FF449A4D"/>
    <w:rsid w:val="FF77DB0D"/>
    <w:rsid w:val="FF7B09FA"/>
    <w:rsid w:val="FF7E8724"/>
    <w:rsid w:val="FFBB37E5"/>
    <w:rsid w:val="FFBBD2BE"/>
    <w:rsid w:val="FFC63DF1"/>
    <w:rsid w:val="FFDA5720"/>
    <w:rsid w:val="FFEDEC81"/>
    <w:rsid w:val="FFEFA795"/>
    <w:rsid w:val="FFF7D751"/>
    <w:rsid w:val="FFF7E09E"/>
    <w:rsid w:val="FFFBC3E1"/>
    <w:rsid w:val="FFFE1B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0"/>
    <w:pPr>
      <w:spacing w:before="100" w:beforeAutospacing="1" w:after="100" w:afterAutospacing="1"/>
      <w:jc w:val="left"/>
      <w:outlineLvl w:val="0"/>
    </w:pPr>
    <w:rPr>
      <w:rFonts w:ascii="宋体" w:hAnsi="宋体"/>
      <w:b/>
      <w:kern w:val="44"/>
      <w:sz w:val="48"/>
      <w:szCs w:val="48"/>
    </w:rPr>
  </w:style>
  <w:style w:type="paragraph" w:styleId="4">
    <w:name w:val="heading 2"/>
    <w:basedOn w:val="1"/>
    <w:next w:val="1"/>
    <w:qFormat/>
    <w:uiPriority w:val="0"/>
    <w:pPr>
      <w:keepNext/>
      <w:keepLines/>
      <w:spacing w:line="360" w:lineRule="auto"/>
      <w:outlineLvl w:val="1"/>
    </w:pPr>
    <w:rPr>
      <w:rFonts w:ascii="Cambria" w:hAnsi="Cambria"/>
      <w:b/>
      <w:bCs/>
      <w:sz w:val="28"/>
      <w:szCs w:val="32"/>
    </w:rPr>
  </w:style>
  <w:style w:type="paragraph" w:styleId="5">
    <w:name w:val="heading 3"/>
    <w:basedOn w:val="1"/>
    <w:next w:val="1"/>
    <w:qFormat/>
    <w:uiPriority w:val="0"/>
    <w:pPr>
      <w:keepNext/>
      <w:keepLines/>
      <w:spacing w:before="260" w:after="260" w:line="416" w:lineRule="auto"/>
      <w:outlineLvl w:val="2"/>
    </w:pPr>
    <w:rPr>
      <w:rFonts w:ascii="Calibri" w:hAnsi="Calibr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adjustRightInd w:val="0"/>
      <w:spacing w:line="560" w:lineRule="exact"/>
      <w:ind w:firstLine="624"/>
      <w:jc w:val="left"/>
      <w:textAlignment w:val="baseline"/>
    </w:pPr>
    <w:rPr>
      <w:kern w:val="0"/>
    </w:rPr>
  </w:style>
  <w:style w:type="paragraph" w:styleId="6">
    <w:name w:val="Body Text"/>
    <w:basedOn w:val="1"/>
    <w:qFormat/>
    <w:uiPriority w:val="0"/>
    <w:pPr>
      <w:spacing w:line="240" w:lineRule="exact"/>
    </w:pPr>
    <w:rPr>
      <w:rFonts w:ascii="仿宋_GB2312" w:eastAsia="仿宋_GB2312"/>
      <w:b/>
      <w:bCs/>
      <w:sz w:val="18"/>
      <w:szCs w:val="18"/>
    </w:rPr>
  </w:style>
  <w:style w:type="paragraph" w:styleId="7">
    <w:name w:val="Body Text Indent"/>
    <w:basedOn w:val="1"/>
    <w:qFormat/>
    <w:uiPriority w:val="0"/>
    <w:pPr>
      <w:spacing w:after="120"/>
      <w:ind w:left="420" w:leftChars="200"/>
    </w:pPr>
  </w:style>
  <w:style w:type="paragraph" w:styleId="8">
    <w:name w:val="Plain Text"/>
    <w:basedOn w:val="1"/>
    <w:link w:val="36"/>
    <w:unhideWhenUsed/>
    <w:qFormat/>
    <w:uiPriority w:val="0"/>
    <w:rPr>
      <w:rFonts w:ascii="宋体" w:hAnsi="Courier New" w:cs="Courier New"/>
      <w:szCs w:val="21"/>
    </w:rPr>
  </w:style>
  <w:style w:type="paragraph" w:styleId="9">
    <w:name w:val="Date"/>
    <w:basedOn w:val="1"/>
    <w:next w:val="1"/>
    <w:qFormat/>
    <w:uiPriority w:val="0"/>
    <w:pPr>
      <w:ind w:left="100" w:leftChars="2500"/>
    </w:pPr>
  </w:style>
  <w:style w:type="paragraph" w:styleId="10">
    <w:name w:val="Body Text Indent 2"/>
    <w:basedOn w:val="1"/>
    <w:link w:val="24"/>
    <w:qFormat/>
    <w:uiPriority w:val="99"/>
    <w:pPr>
      <w:spacing w:after="120" w:line="480" w:lineRule="auto"/>
      <w:ind w:left="420" w:leftChars="200"/>
    </w:pPr>
    <w:rPr>
      <w:rFonts w:ascii="Calibri" w:hAnsi="Calibri"/>
    </w:rPr>
  </w:style>
  <w:style w:type="paragraph" w:styleId="11">
    <w:name w:val="Balloon Text"/>
    <w:basedOn w:val="1"/>
    <w:semiHidden/>
    <w:qFormat/>
    <w:uiPriority w:val="0"/>
    <w:rPr>
      <w:sz w:val="18"/>
      <w:szCs w:val="18"/>
    </w:rPr>
  </w:style>
  <w:style w:type="paragraph" w:styleId="12">
    <w:name w:val="footer"/>
    <w:basedOn w:val="1"/>
    <w:next w:val="1"/>
    <w:link w:val="35"/>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0"/>
    <w:rPr>
      <w:rFonts w:cs="Times New Roman"/>
      <w:b/>
      <w:bCs/>
    </w:rPr>
  </w:style>
  <w:style w:type="character" w:styleId="20">
    <w:name w:val="page number"/>
    <w:basedOn w:val="18"/>
    <w:qFormat/>
    <w:uiPriority w:val="0"/>
  </w:style>
  <w:style w:type="character" w:styleId="21">
    <w:name w:val="Hyperlink"/>
    <w:basedOn w:val="18"/>
    <w:qFormat/>
    <w:uiPriority w:val="0"/>
    <w:rPr>
      <w:color w:val="0000FF"/>
      <w:u w:val="single"/>
    </w:rPr>
  </w:style>
  <w:style w:type="paragraph" w:customStyle="1" w:styleId="22">
    <w:name w:val="目录 21"/>
    <w:basedOn w:val="1"/>
    <w:next w:val="1"/>
    <w:qFormat/>
    <w:uiPriority w:val="0"/>
    <w:pPr>
      <w:ind w:left="420"/>
      <w:jc w:val="center"/>
    </w:pPr>
    <w:rPr>
      <w:rFonts w:ascii="楷体_GB2312" w:eastAsia="楷体_GB2312"/>
      <w:sz w:val="32"/>
    </w:rPr>
  </w:style>
  <w:style w:type="character" w:customStyle="1" w:styleId="23">
    <w:name w:val="apple-converted-space"/>
    <w:qFormat/>
    <w:uiPriority w:val="0"/>
    <w:rPr>
      <w:rFonts w:cs="Times New Roman"/>
    </w:rPr>
  </w:style>
  <w:style w:type="character" w:customStyle="1" w:styleId="24">
    <w:name w:val="正文文本缩进 2 Char"/>
    <w:link w:val="10"/>
    <w:qFormat/>
    <w:uiPriority w:val="99"/>
    <w:rPr>
      <w:rFonts w:ascii="Calibri" w:hAnsi="Calibri"/>
      <w:kern w:val="2"/>
      <w:sz w:val="21"/>
      <w:szCs w:val="24"/>
    </w:rPr>
  </w:style>
  <w:style w:type="character" w:customStyle="1" w:styleId="25">
    <w:name w:val="标题 1 Char"/>
    <w:link w:val="3"/>
    <w:qFormat/>
    <w:uiPriority w:val="0"/>
    <w:rPr>
      <w:rFonts w:ascii="宋体" w:hAnsi="宋体" w:cs="宋体"/>
      <w:b/>
      <w:kern w:val="44"/>
      <w:sz w:val="48"/>
      <w:szCs w:val="48"/>
    </w:rPr>
  </w:style>
  <w:style w:type="paragraph" w:customStyle="1" w:styleId="26">
    <w:name w:val="_Style 4"/>
    <w:basedOn w:val="1"/>
    <w:qFormat/>
    <w:uiPriority w:val="0"/>
  </w:style>
  <w:style w:type="paragraph" w:customStyle="1" w:styleId="27">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28">
    <w:name w:val="Char"/>
    <w:basedOn w:val="1"/>
    <w:qFormat/>
    <w:uiPriority w:val="0"/>
    <w:rPr>
      <w:color w:val="000000"/>
    </w:rPr>
  </w:style>
  <w:style w:type="paragraph" w:customStyle="1" w:styleId="29">
    <w:name w:val="Char Char Char Char"/>
    <w:basedOn w:val="1"/>
    <w:semiHidden/>
    <w:qFormat/>
    <w:uiPriority w:val="0"/>
  </w:style>
  <w:style w:type="paragraph" w:customStyle="1" w:styleId="30">
    <w:name w:val="列出段落1"/>
    <w:basedOn w:val="1"/>
    <w:qFormat/>
    <w:uiPriority w:val="0"/>
    <w:pPr>
      <w:widowControl/>
      <w:ind w:left="720"/>
      <w:jc w:val="left"/>
    </w:pPr>
    <w:rPr>
      <w:rFonts w:ascii="Calibri" w:hAnsi="Calibri"/>
      <w:kern w:val="0"/>
      <w:sz w:val="24"/>
    </w:rPr>
  </w:style>
  <w:style w:type="paragraph" w:styleId="31">
    <w:name w:val="List Paragraph"/>
    <w:basedOn w:val="1"/>
    <w:qFormat/>
    <w:uiPriority w:val="34"/>
    <w:pPr>
      <w:ind w:firstLine="420" w:firstLineChars="200"/>
    </w:pPr>
    <w:rPr>
      <w:rFonts w:ascii="Calibri" w:hAnsi="Calibri"/>
      <w:szCs w:val="22"/>
    </w:rPr>
  </w:style>
  <w:style w:type="paragraph" w:customStyle="1" w:styleId="32">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33">
    <w:name w:val="Body text|1"/>
    <w:basedOn w:val="1"/>
    <w:qFormat/>
    <w:uiPriority w:val="0"/>
    <w:pPr>
      <w:spacing w:line="446" w:lineRule="auto"/>
      <w:ind w:firstLine="400"/>
    </w:pPr>
    <w:rPr>
      <w:rFonts w:ascii="宋体" w:hAnsi="宋体" w:cs="宋体"/>
      <w:sz w:val="28"/>
      <w:szCs w:val="28"/>
      <w:lang w:val="zh-TW" w:eastAsia="zh-TW" w:bidi="zh-TW"/>
    </w:rPr>
  </w:style>
  <w:style w:type="paragraph" w:styleId="34">
    <w:name w:val="No Spacing"/>
    <w:qFormat/>
    <w:uiPriority w:val="1"/>
    <w:pPr>
      <w:widowControl w:val="0"/>
      <w:jc w:val="both"/>
    </w:pPr>
    <w:rPr>
      <w:rFonts w:ascii="Times New Roman" w:hAnsi="Times New Roman" w:eastAsia="仿宋_GB2312" w:cs="Times New Roman"/>
      <w:kern w:val="2"/>
      <w:sz w:val="32"/>
      <w:szCs w:val="32"/>
      <w:lang w:val="en-US" w:eastAsia="zh-CN" w:bidi="ar-SA"/>
    </w:rPr>
  </w:style>
  <w:style w:type="character" w:customStyle="1" w:styleId="35">
    <w:name w:val="页脚 Char"/>
    <w:basedOn w:val="18"/>
    <w:link w:val="12"/>
    <w:qFormat/>
    <w:uiPriority w:val="99"/>
    <w:rPr>
      <w:kern w:val="2"/>
      <w:sz w:val="18"/>
      <w:szCs w:val="18"/>
    </w:rPr>
  </w:style>
  <w:style w:type="character" w:customStyle="1" w:styleId="36">
    <w:name w:val="纯文本 Char"/>
    <w:basedOn w:val="18"/>
    <w:link w:val="8"/>
    <w:qFormat/>
    <w:uiPriority w:val="0"/>
    <w:rPr>
      <w:rFonts w:ascii="宋体" w:hAnsi="Courier New" w:cs="Courier New"/>
      <w:kern w:val="2"/>
      <w:sz w:val="21"/>
      <w:szCs w:val="21"/>
    </w:rPr>
  </w:style>
  <w:style w:type="paragraph" w:customStyle="1" w:styleId="37">
    <w:name w:val="列出段落2"/>
    <w:basedOn w:val="1"/>
    <w:qFormat/>
    <w:uiPriority w:val="99"/>
    <w:pPr>
      <w:ind w:firstLine="420" w:firstLineChars="200"/>
    </w:pPr>
    <w:rPr>
      <w:szCs w:val="20"/>
    </w:rPr>
  </w:style>
  <w:style w:type="character" w:customStyle="1" w:styleId="38">
    <w:name w:val="font01"/>
    <w:basedOn w:val="18"/>
    <w:qFormat/>
    <w:uiPriority w:val="0"/>
    <w:rPr>
      <w:rFonts w:hint="eastAsia" w:ascii="宋体" w:hAnsi="宋体" w:eastAsia="宋体" w:cs="宋体"/>
      <w:color w:val="000000"/>
      <w:sz w:val="36"/>
      <w:szCs w:val="36"/>
      <w:u w:val="single"/>
    </w:rPr>
  </w:style>
  <w:style w:type="character" w:customStyle="1" w:styleId="39">
    <w:name w:val="font31"/>
    <w:basedOn w:val="18"/>
    <w:qFormat/>
    <w:uiPriority w:val="0"/>
    <w:rPr>
      <w:rFonts w:hint="eastAsia" w:ascii="宋体" w:hAnsi="宋体" w:eastAsia="宋体" w:cs="宋体"/>
      <w:color w:val="000000"/>
      <w:sz w:val="36"/>
      <w:szCs w:val="36"/>
      <w:u w:val="none"/>
    </w:rPr>
  </w:style>
  <w:style w:type="character" w:customStyle="1" w:styleId="40">
    <w:name w:val="font11"/>
    <w:basedOn w:val="18"/>
    <w:qFormat/>
    <w:uiPriority w:val="0"/>
    <w:rPr>
      <w:rFonts w:hint="eastAsia" w:ascii="方正小标宋_GBK" w:hAnsi="方正小标宋_GBK" w:eastAsia="方正小标宋_GBK" w:cs="方正小标宋_GBK"/>
      <w:color w:val="000000"/>
      <w:sz w:val="44"/>
      <w:szCs w:val="44"/>
      <w:u w:val="none"/>
    </w:rPr>
  </w:style>
  <w:style w:type="character" w:customStyle="1" w:styleId="41">
    <w:name w:val="NormalCharacter"/>
    <w:semiHidden/>
    <w:qFormat/>
    <w:uiPriority w:val="0"/>
    <w:rPr>
      <w:rFonts w:ascii="Calibri" w:hAnsi="Calibri" w:eastAsia="宋体" w:cstheme="minorBidi"/>
      <w:kern w:val="2"/>
      <w:sz w:val="21"/>
      <w:szCs w:val="24"/>
      <w:lang w:val="en-US" w:eastAsia="zh-CN" w:bidi="ar-SA"/>
    </w:rPr>
  </w:style>
  <w:style w:type="table" w:customStyle="1" w:styleId="42">
    <w:name w:val="Table Normal"/>
    <w:semiHidden/>
    <w:unhideWhenUsed/>
    <w:qFormat/>
    <w:uiPriority w:val="0"/>
    <w:tblPr>
      <w:tblCellMar>
        <w:top w:w="0" w:type="dxa"/>
        <w:left w:w="0" w:type="dxa"/>
        <w:bottom w:w="0" w:type="dxa"/>
        <w:right w:w="0" w:type="dxa"/>
      </w:tblCellMar>
    </w:tblPr>
  </w:style>
  <w:style w:type="table" w:customStyle="1" w:styleId="43">
    <w:name w:val="网格型1"/>
    <w:basedOn w:val="1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47</Pages>
  <Words>20483</Words>
  <Characters>21457</Characters>
  <Lines>162</Lines>
  <Paragraphs>45</Paragraphs>
  <TotalTime>1</TotalTime>
  <ScaleCrop>false</ScaleCrop>
  <LinksUpToDate>false</LinksUpToDate>
  <CharactersWithSpaces>21497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2022-12-10T10:40:00Z</dcterms:created>
  <dc:creator>办公室</dc:creator>
  <cp:lastModifiedBy>comet</cp:lastModifiedBy>
  <cp:lastPrinted>2022-12-10T09:54:00Z</cp:lastPrinted>
  <dcterms:modified xsi:type="dcterms:W3CDTF">2022-12-16T02:14:03Z</dcterms:modified>
  <dc:title>卫办秘〔2011〕248号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0B3A3274423443F8968249E54C1CE73A</vt:lpwstr>
  </property>
</Properties>
</file>