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jc w:val="center"/>
        <w:rPr>
          <w:rFonts w:hint="eastAsia" w:ascii="方正小标宋简体" w:hAnsi="黑体" w:eastAsia="方正小标宋简体"/>
          <w:color w:val="000000"/>
          <w:kern w:val="0"/>
          <w:sz w:val="44"/>
          <w:szCs w:val="44"/>
          <w:u w:val="none"/>
        </w:rPr>
      </w:pPr>
      <w:r>
        <w:rPr>
          <w:rFonts w:hint="eastAsia" w:ascii="方正小标宋简体" w:hAnsi="黑体" w:eastAsia="方正小标宋简体"/>
          <w:color w:val="000000"/>
          <w:kern w:val="0"/>
          <w:sz w:val="44"/>
          <w:szCs w:val="44"/>
          <w:u w:val="none"/>
        </w:rPr>
        <w:t>江西省长期处方管理实施细则</w:t>
      </w:r>
    </w:p>
    <w:p>
      <w:pPr>
        <w:pStyle w:val="4"/>
        <w:spacing w:line="600" w:lineRule="exact"/>
        <w:jc w:val="center"/>
        <w:rPr>
          <w:rFonts w:hint="eastAsia" w:ascii="方正小标宋简体" w:hAnsi="黑体" w:eastAsia="方正小标宋简体"/>
          <w:color w:val="000000"/>
          <w:kern w:val="0"/>
          <w:sz w:val="44"/>
          <w:szCs w:val="44"/>
          <w:u w:val="none"/>
        </w:rPr>
      </w:pPr>
      <w:r>
        <w:rPr>
          <w:rFonts w:hint="eastAsia" w:ascii="方正小标宋简体" w:hAnsi="黑体" w:eastAsia="方正小标宋简体"/>
          <w:color w:val="000000"/>
          <w:kern w:val="0"/>
          <w:sz w:val="44"/>
          <w:szCs w:val="44"/>
          <w:u w:val="none"/>
        </w:rPr>
        <w:t>（</w:t>
      </w:r>
      <w:r>
        <w:rPr>
          <w:rFonts w:hint="default" w:ascii="方正小标宋简体" w:hAnsi="黑体" w:eastAsia="方正小标宋简体"/>
          <w:color w:val="000000"/>
          <w:kern w:val="0"/>
          <w:sz w:val="44"/>
          <w:szCs w:val="44"/>
          <w:u w:val="none"/>
          <w:lang w:val="en"/>
        </w:rPr>
        <w:t>2022</w:t>
      </w:r>
      <w:r>
        <w:rPr>
          <w:rFonts w:hint="eastAsia" w:ascii="方正小标宋简体" w:hAnsi="黑体" w:eastAsia="方正小标宋简体"/>
          <w:color w:val="000000"/>
          <w:kern w:val="0"/>
          <w:sz w:val="44"/>
          <w:szCs w:val="44"/>
          <w:u w:val="none"/>
          <w:lang w:val="en" w:eastAsia="zh-CN"/>
        </w:rPr>
        <w:t>年版</w:t>
      </w:r>
      <w:r>
        <w:rPr>
          <w:rFonts w:hint="eastAsia" w:ascii="方正小标宋简体" w:hAnsi="黑体" w:eastAsia="方正小标宋简体"/>
          <w:color w:val="000000"/>
          <w:kern w:val="0"/>
          <w:sz w:val="44"/>
          <w:szCs w:val="44"/>
          <w:u w:val="none"/>
        </w:rPr>
        <w:t>）</w:t>
      </w:r>
    </w:p>
    <w:p>
      <w:pPr>
        <w:pStyle w:val="4"/>
        <w:spacing w:line="600" w:lineRule="exact"/>
        <w:jc w:val="center"/>
        <w:rPr>
          <w:rFonts w:hint="eastAsia" w:ascii="楷体_GB2312" w:hAnsi="楷体_GB2312" w:eastAsia="楷体_GB2312" w:cs="楷体_GB2312"/>
          <w:color w:val="000000"/>
          <w:kern w:val="0"/>
          <w:sz w:val="28"/>
          <w:szCs w:val="28"/>
          <w:u w:val="none"/>
        </w:rPr>
      </w:pPr>
      <w:bookmarkStart w:id="0" w:name="_GoBack"/>
      <w:bookmarkEnd w:id="0"/>
    </w:p>
    <w:p>
      <w:pPr>
        <w:pStyle w:val="4"/>
        <w:spacing w:line="600" w:lineRule="exact"/>
        <w:jc w:val="center"/>
        <w:rPr>
          <w:rFonts w:hint="eastAsia" w:ascii="仿宋" w:hAnsi="仿宋" w:eastAsia="仿宋" w:cs="仿宋"/>
          <w:b/>
          <w:color w:val="000000"/>
          <w:sz w:val="32"/>
          <w:szCs w:val="32"/>
          <w:u w:val="none"/>
        </w:rPr>
      </w:pPr>
      <w:r>
        <w:rPr>
          <w:rFonts w:hint="eastAsia" w:ascii="仿宋" w:hAnsi="仿宋" w:eastAsia="仿宋" w:cs="仿宋"/>
          <w:b/>
          <w:color w:val="000000"/>
          <w:sz w:val="32"/>
          <w:szCs w:val="32"/>
          <w:u w:val="none"/>
        </w:rPr>
        <w:t>第一章</w:t>
      </w:r>
      <w:r>
        <w:rPr>
          <w:rFonts w:hint="default" w:ascii="仿宋" w:hAnsi="仿宋" w:eastAsia="仿宋" w:cs="仿宋"/>
          <w:b/>
          <w:color w:val="000000"/>
          <w:sz w:val="32"/>
          <w:szCs w:val="32"/>
          <w:u w:val="none"/>
          <w:lang w:val="en"/>
        </w:rPr>
        <w:t xml:space="preserve">  </w:t>
      </w:r>
      <w:r>
        <w:rPr>
          <w:rFonts w:hint="eastAsia" w:ascii="仿宋" w:hAnsi="仿宋" w:eastAsia="仿宋" w:cs="仿宋"/>
          <w:b/>
          <w:color w:val="000000"/>
          <w:sz w:val="32"/>
          <w:szCs w:val="32"/>
          <w:u w:val="none"/>
        </w:rPr>
        <w:t>总则</w:t>
      </w:r>
    </w:p>
    <w:p>
      <w:pPr>
        <w:pStyle w:val="4"/>
        <w:spacing w:line="600" w:lineRule="exact"/>
        <w:ind w:firstLine="642" w:firstLineChars="200"/>
        <w:jc w:val="left"/>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第一条</w:t>
      </w:r>
      <w:r>
        <w:rPr>
          <w:rFonts w:hint="eastAsia" w:ascii="仿宋" w:hAnsi="仿宋" w:eastAsia="仿宋" w:cs="仿宋"/>
          <w:color w:val="000000"/>
          <w:sz w:val="32"/>
          <w:szCs w:val="32"/>
          <w:u w:val="none"/>
        </w:rPr>
        <w:t xml:space="preserve"> 为规范长期处方管理，推进分级诊疗，促进合理用药，保障医疗质量和医疗安全，根据《中华人民共和国医师法》《中华人民共和国药品管理法》《医疗机构管理条例》《麻醉药品和精神药品管理条例》《处方管理办法》《医疗机构药事管理规定》《长期处方管理规范（试行）》等相关规定，结合我省实际，制定本</w:t>
      </w:r>
      <w:r>
        <w:rPr>
          <w:rFonts w:hint="eastAsia" w:ascii="仿宋" w:hAnsi="仿宋" w:eastAsia="仿宋" w:cs="仿宋"/>
          <w:color w:val="000000"/>
          <w:sz w:val="32"/>
          <w:szCs w:val="32"/>
          <w:u w:val="none"/>
          <w:lang w:eastAsia="zh-CN"/>
        </w:rPr>
        <w:t>实施</w:t>
      </w:r>
      <w:r>
        <w:rPr>
          <w:rFonts w:hint="eastAsia" w:ascii="仿宋" w:hAnsi="仿宋" w:eastAsia="仿宋" w:cs="仿宋"/>
          <w:color w:val="000000"/>
          <w:sz w:val="32"/>
          <w:szCs w:val="32"/>
          <w:u w:val="none"/>
        </w:rPr>
        <w:t>细则。</w:t>
      </w:r>
    </w:p>
    <w:p>
      <w:pPr>
        <w:pStyle w:val="4"/>
        <w:spacing w:line="600" w:lineRule="exact"/>
        <w:ind w:firstLine="642" w:firstLineChars="200"/>
        <w:jc w:val="left"/>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第二条</w:t>
      </w:r>
      <w:r>
        <w:rPr>
          <w:rFonts w:hint="eastAsia" w:ascii="仿宋" w:hAnsi="仿宋" w:eastAsia="仿宋" w:cs="仿宋"/>
          <w:color w:val="000000"/>
          <w:sz w:val="32"/>
          <w:szCs w:val="32"/>
          <w:u w:val="none"/>
        </w:rPr>
        <w:t xml:space="preserve"> 本</w:t>
      </w:r>
      <w:r>
        <w:rPr>
          <w:rFonts w:hint="eastAsia" w:ascii="仿宋" w:hAnsi="仿宋" w:eastAsia="仿宋" w:cs="仿宋"/>
          <w:color w:val="000000"/>
          <w:sz w:val="32"/>
          <w:szCs w:val="32"/>
          <w:u w:val="none"/>
          <w:lang w:eastAsia="zh-CN"/>
        </w:rPr>
        <w:t>实施</w:t>
      </w:r>
      <w:r>
        <w:rPr>
          <w:rFonts w:hint="eastAsia" w:ascii="仿宋" w:hAnsi="仿宋" w:eastAsia="仿宋" w:cs="仿宋"/>
          <w:color w:val="000000"/>
          <w:sz w:val="32"/>
          <w:szCs w:val="32"/>
          <w:u w:val="none"/>
        </w:rPr>
        <w:t>细则所称长期处方是指在医疗机构由具备条件的医师按照规定，对符合条件的慢性病患者开具的处方用量适当增加的处方。</w:t>
      </w:r>
    </w:p>
    <w:p>
      <w:pPr>
        <w:pStyle w:val="4"/>
        <w:spacing w:line="600" w:lineRule="exact"/>
        <w:ind w:firstLine="642" w:firstLineChars="200"/>
        <w:jc w:val="left"/>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条</w:t>
      </w:r>
      <w:r>
        <w:rPr>
          <w:rFonts w:hint="eastAsia" w:ascii="仿宋" w:hAnsi="仿宋" w:eastAsia="仿宋" w:cs="仿宋"/>
          <w:color w:val="000000"/>
          <w:sz w:val="32"/>
          <w:szCs w:val="32"/>
          <w:u w:val="none"/>
        </w:rPr>
        <w:t xml:space="preserve"> 长期处方</w:t>
      </w:r>
      <w:r>
        <w:rPr>
          <w:rFonts w:hint="eastAsia" w:ascii="仿宋" w:hAnsi="仿宋" w:eastAsia="仿宋" w:cs="仿宋"/>
          <w:color w:val="000000"/>
          <w:sz w:val="32"/>
          <w:szCs w:val="32"/>
          <w:u w:val="none"/>
          <w:lang w:eastAsia="zh-CN"/>
        </w:rPr>
        <w:t>应当遵循安全、有效、经济、适宜、便民的原则</w:t>
      </w:r>
      <w:r>
        <w:rPr>
          <w:rFonts w:hint="eastAsia" w:ascii="仿宋" w:hAnsi="仿宋" w:eastAsia="仿宋" w:cs="仿宋"/>
          <w:color w:val="000000"/>
          <w:sz w:val="32"/>
          <w:szCs w:val="32"/>
          <w:u w:val="none"/>
        </w:rPr>
        <w:t>。</w:t>
      </w:r>
    </w:p>
    <w:p>
      <w:pPr>
        <w:pStyle w:val="4"/>
        <w:numPr>
          <w:ilvl w:val="0"/>
          <w:numId w:val="0"/>
        </w:numPr>
        <w:spacing w:line="600" w:lineRule="exact"/>
        <w:rPr>
          <w:rFonts w:hint="eastAsia" w:ascii="仿宋" w:hAnsi="仿宋" w:eastAsia="仿宋" w:cs="仿宋"/>
          <w:strike/>
          <w:color w:val="000000"/>
          <w:sz w:val="32"/>
          <w:szCs w:val="32"/>
          <w:u w:val="none"/>
          <w:lang w:eastAsia="zh-CN"/>
        </w:rPr>
      </w:pP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 xml:space="preserve">条 </w:t>
      </w:r>
      <w:r>
        <w:rPr>
          <w:rFonts w:hint="eastAsia" w:ascii="仿宋" w:hAnsi="仿宋" w:eastAsia="仿宋" w:cs="仿宋"/>
          <w:color w:val="000000"/>
          <w:sz w:val="32"/>
          <w:szCs w:val="32"/>
          <w:u w:val="none"/>
        </w:rPr>
        <w:t>本</w:t>
      </w:r>
      <w:r>
        <w:rPr>
          <w:rFonts w:hint="eastAsia" w:ascii="仿宋" w:hAnsi="仿宋" w:eastAsia="仿宋" w:cs="仿宋"/>
          <w:color w:val="000000"/>
          <w:sz w:val="32"/>
          <w:szCs w:val="32"/>
          <w:u w:val="none"/>
          <w:lang w:eastAsia="zh-CN"/>
        </w:rPr>
        <w:t>实施</w:t>
      </w:r>
      <w:r>
        <w:rPr>
          <w:rFonts w:hint="eastAsia" w:ascii="仿宋" w:hAnsi="仿宋" w:eastAsia="仿宋" w:cs="仿宋"/>
          <w:color w:val="000000"/>
          <w:sz w:val="32"/>
          <w:szCs w:val="32"/>
          <w:u w:val="none"/>
        </w:rPr>
        <w:t>细则适用于全省各级各类医疗机构的长期处方管理工作。</w:t>
      </w:r>
    </w:p>
    <w:p>
      <w:pPr>
        <w:widowControl/>
        <w:numPr>
          <w:ilvl w:val="0"/>
          <w:numId w:val="0"/>
        </w:numPr>
        <w:spacing w:line="600" w:lineRule="atLeast"/>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五</w:t>
      </w:r>
      <w:r>
        <w:rPr>
          <w:rFonts w:hint="eastAsia" w:ascii="仿宋" w:hAnsi="仿宋" w:eastAsia="仿宋" w:cs="仿宋"/>
          <w:b/>
          <w:color w:val="000000"/>
          <w:sz w:val="32"/>
          <w:szCs w:val="32"/>
          <w:u w:val="none"/>
        </w:rPr>
        <w:t xml:space="preserve">条 </w:t>
      </w:r>
      <w:r>
        <w:rPr>
          <w:rFonts w:hint="eastAsia" w:ascii="仿宋" w:hAnsi="仿宋" w:eastAsia="仿宋" w:cs="仿宋"/>
          <w:color w:val="000000"/>
          <w:sz w:val="32"/>
          <w:szCs w:val="32"/>
          <w:u w:val="none"/>
        </w:rPr>
        <w:t>省</w:t>
      </w:r>
      <w:r>
        <w:rPr>
          <w:rFonts w:hint="eastAsia" w:ascii="仿宋" w:hAnsi="仿宋" w:eastAsia="仿宋" w:cs="仿宋"/>
          <w:color w:val="000000"/>
          <w:sz w:val="32"/>
          <w:szCs w:val="32"/>
          <w:u w:val="none"/>
          <w:lang w:eastAsia="zh-CN"/>
        </w:rPr>
        <w:t>级</w:t>
      </w:r>
      <w:r>
        <w:rPr>
          <w:rFonts w:hint="eastAsia" w:ascii="仿宋" w:hAnsi="仿宋" w:eastAsia="仿宋" w:cs="仿宋"/>
          <w:color w:val="000000"/>
          <w:sz w:val="32"/>
          <w:szCs w:val="32"/>
          <w:u w:val="none"/>
        </w:rPr>
        <w:t>卫生健康</w:t>
      </w:r>
      <w:r>
        <w:rPr>
          <w:rFonts w:hint="eastAsia" w:ascii="仿宋" w:hAnsi="仿宋" w:eastAsia="仿宋" w:cs="仿宋"/>
          <w:color w:val="000000"/>
          <w:sz w:val="32"/>
          <w:szCs w:val="32"/>
          <w:u w:val="none"/>
          <w:lang w:eastAsia="zh-CN"/>
        </w:rPr>
        <w:t>行政部门（含中医药管理部门，下同）</w:t>
      </w:r>
      <w:r>
        <w:rPr>
          <w:rFonts w:hint="eastAsia" w:ascii="仿宋" w:hAnsi="仿宋" w:eastAsia="仿宋" w:cs="仿宋"/>
          <w:color w:val="000000"/>
          <w:sz w:val="32"/>
          <w:szCs w:val="32"/>
          <w:u w:val="none"/>
        </w:rPr>
        <w:t>负责全省长期处方的监督管理工作。</w:t>
      </w:r>
    </w:p>
    <w:p>
      <w:pPr>
        <w:widowControl/>
        <w:numPr>
          <w:ilvl w:val="0"/>
          <w:numId w:val="0"/>
        </w:numPr>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设区</w:t>
      </w:r>
      <w:r>
        <w:rPr>
          <w:rFonts w:hint="eastAsia" w:ascii="仿宋" w:hAnsi="仿宋" w:eastAsia="仿宋" w:cs="仿宋"/>
          <w:color w:val="000000"/>
          <w:sz w:val="32"/>
          <w:szCs w:val="32"/>
          <w:u w:val="none"/>
        </w:rPr>
        <w:t>市、县级卫生健康行政部门</w:t>
      </w:r>
      <w:r>
        <w:rPr>
          <w:rFonts w:hint="eastAsia" w:ascii="仿宋" w:hAnsi="仿宋" w:eastAsia="仿宋" w:cs="仿宋"/>
          <w:color w:val="000000"/>
          <w:sz w:val="32"/>
          <w:szCs w:val="32"/>
          <w:highlight w:val="none"/>
          <w:u w:val="none"/>
          <w:lang w:eastAsia="zh-CN"/>
        </w:rPr>
        <w:t>分级</w:t>
      </w:r>
      <w:r>
        <w:rPr>
          <w:rFonts w:hint="eastAsia" w:ascii="仿宋" w:hAnsi="仿宋" w:eastAsia="仿宋" w:cs="仿宋"/>
          <w:color w:val="000000"/>
          <w:sz w:val="32"/>
          <w:szCs w:val="32"/>
          <w:u w:val="none"/>
        </w:rPr>
        <w:t>负责长期处方的监督管理工作。</w:t>
      </w:r>
    </w:p>
    <w:p>
      <w:pPr>
        <w:widowControl/>
        <w:numPr>
          <w:ilvl w:val="0"/>
          <w:numId w:val="0"/>
        </w:numPr>
        <w:spacing w:line="600" w:lineRule="atLeast"/>
        <w:ind w:firstLine="640"/>
        <w:rPr>
          <w:rFonts w:hint="eastAsia" w:ascii="仿宋" w:hAnsi="仿宋" w:eastAsia="仿宋" w:cs="仿宋"/>
          <w:color w:val="000000"/>
          <w:sz w:val="32"/>
          <w:szCs w:val="32"/>
          <w:u w:val="none"/>
          <w:lang w:val="en-US" w:eastAsia="zh-CN"/>
        </w:rPr>
      </w:pPr>
    </w:p>
    <w:p>
      <w:pPr>
        <w:pStyle w:val="4"/>
        <w:spacing w:line="600" w:lineRule="exact"/>
        <w:jc w:val="center"/>
        <w:rPr>
          <w:rFonts w:hint="eastAsia" w:ascii="仿宋" w:hAnsi="仿宋" w:eastAsia="仿宋" w:cs="仿宋"/>
          <w:b/>
          <w:color w:val="000000"/>
          <w:sz w:val="32"/>
          <w:szCs w:val="32"/>
          <w:u w:val="none"/>
        </w:rPr>
      </w:pPr>
      <w:r>
        <w:rPr>
          <w:rFonts w:hint="eastAsia" w:ascii="仿宋" w:hAnsi="仿宋" w:eastAsia="仿宋" w:cs="仿宋"/>
          <w:b/>
          <w:color w:val="000000"/>
          <w:sz w:val="32"/>
          <w:szCs w:val="32"/>
          <w:u w:val="none"/>
          <w:lang w:val="en" w:eastAsia="zh-CN"/>
        </w:rPr>
        <w:t>第二章</w:t>
      </w: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lang w:eastAsia="zh-CN"/>
        </w:rPr>
        <w:t>长期处方适用疾病病种及用药范围</w:t>
      </w:r>
    </w:p>
    <w:p>
      <w:pPr>
        <w:pStyle w:val="4"/>
        <w:spacing w:line="600" w:lineRule="exact"/>
        <w:ind w:firstLine="642" w:firstLineChars="200"/>
        <w:jc w:val="left"/>
        <w:rPr>
          <w:rFonts w:hint="eastAsia" w:ascii="仿宋" w:hAnsi="仿宋" w:eastAsia="仿宋" w:cs="仿宋"/>
          <w:color w:val="000000"/>
          <w:kern w:val="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六</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kern w:val="0"/>
          <w:sz w:val="32"/>
          <w:szCs w:val="32"/>
          <w:u w:val="none"/>
        </w:rPr>
        <w:t>长期处方适用于临床诊断明确、用药方案稳定、依从性良好、病情控制平稳、需长期药物治疗的慢性病患者。</w:t>
      </w:r>
    </w:p>
    <w:p>
      <w:pPr>
        <w:widowControl/>
        <w:shd w:val="clear" w:color="auto" w:fill="FFFFFF"/>
        <w:spacing w:line="450" w:lineRule="atLeast"/>
        <w:ind w:firstLine="642" w:firstLineChars="200"/>
        <w:rPr>
          <w:rFonts w:hint="eastAsia" w:ascii="仿宋" w:hAnsi="仿宋" w:eastAsia="仿宋" w:cs="仿宋"/>
          <w:color w:val="000000"/>
          <w:kern w:val="0"/>
          <w:sz w:val="32"/>
          <w:szCs w:val="32"/>
          <w:u w:val="none"/>
          <w:lang w:val="en-US"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七</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kern w:val="0"/>
          <w:sz w:val="32"/>
          <w:szCs w:val="32"/>
          <w:u w:val="none"/>
        </w:rPr>
        <w:t>治疗慢性病的一般常用药品可用于长期处方。</w:t>
      </w:r>
    </w:p>
    <w:p>
      <w:pPr>
        <w:widowControl/>
        <w:shd w:val="clear" w:color="auto" w:fill="FFFFFF"/>
        <w:spacing w:line="450" w:lineRule="atLeast"/>
        <w:ind w:firstLine="642" w:firstLineChars="200"/>
        <w:rPr>
          <w:rFonts w:hint="eastAsia" w:ascii="仿宋" w:hAnsi="仿宋" w:eastAsia="仿宋" w:cs="仿宋"/>
          <w:color w:val="000000"/>
          <w:kern w:val="0"/>
          <w:sz w:val="32"/>
          <w:szCs w:val="32"/>
          <w:u w:val="none"/>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八</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kern w:val="0"/>
          <w:sz w:val="32"/>
          <w:szCs w:val="32"/>
          <w:u w:val="none"/>
        </w:rPr>
        <w:t>医疗用毒性药品、放射性药品、易制毒药品、麻醉药品、第一类和第二类精神药品、抗微生物药物（治疗结核等慢性细菌真菌感染性疾病的药物除外），以及对储存条件有特殊要求</w:t>
      </w:r>
      <w:r>
        <w:rPr>
          <w:rFonts w:hint="eastAsia" w:ascii="仿宋" w:hAnsi="仿宋" w:eastAsia="仿宋" w:cs="仿宋"/>
          <w:color w:val="000000"/>
          <w:kern w:val="0"/>
          <w:sz w:val="32"/>
          <w:szCs w:val="32"/>
          <w:u w:val="none"/>
          <w:lang w:eastAsia="zh-CN"/>
        </w:rPr>
        <w:t>且一般家庭无法满足</w:t>
      </w:r>
      <w:r>
        <w:rPr>
          <w:rFonts w:hint="eastAsia" w:ascii="仿宋" w:hAnsi="仿宋" w:eastAsia="仿宋" w:cs="仿宋"/>
          <w:color w:val="000000"/>
          <w:kern w:val="0"/>
          <w:sz w:val="32"/>
          <w:szCs w:val="32"/>
          <w:u w:val="none"/>
        </w:rPr>
        <w:t>的药品不得用于长期处方。</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九</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lang w:eastAsia="zh-CN"/>
        </w:rPr>
        <w:t>原则上，长期处方用药优先选择国家基本药物、国家组织集中采购中选药品以及国家医保目录药品</w:t>
      </w:r>
      <w:r>
        <w:rPr>
          <w:rFonts w:hint="eastAsia" w:ascii="仿宋" w:hAnsi="仿宋" w:eastAsia="仿宋" w:cs="仿宋"/>
          <w:color w:val="000000"/>
          <w:sz w:val="32"/>
          <w:szCs w:val="32"/>
          <w:u w:val="none"/>
        </w:rPr>
        <w:t>。</w:t>
      </w:r>
    </w:p>
    <w:p>
      <w:pPr>
        <w:pStyle w:val="4"/>
        <w:spacing w:line="600" w:lineRule="exact"/>
        <w:ind w:firstLine="642" w:firstLineChars="20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十</w:t>
      </w:r>
      <w:r>
        <w:rPr>
          <w:rFonts w:hint="eastAsia" w:ascii="仿宋" w:hAnsi="仿宋" w:eastAsia="仿宋" w:cs="仿宋"/>
          <w:b/>
          <w:color w:val="000000"/>
          <w:sz w:val="32"/>
          <w:szCs w:val="32"/>
          <w:u w:val="none"/>
        </w:rPr>
        <w:t xml:space="preserve">条 </w:t>
      </w:r>
      <w:r>
        <w:rPr>
          <w:rFonts w:hint="eastAsia" w:ascii="仿宋" w:hAnsi="仿宋" w:eastAsia="仿宋" w:cs="仿宋"/>
          <w:color w:val="000000"/>
          <w:sz w:val="32"/>
          <w:szCs w:val="32"/>
          <w:u w:val="none"/>
          <w:lang w:eastAsia="zh-CN"/>
        </w:rPr>
        <w:t>省卫生健康委负责制定省域长期处方适用疾病病种范围（见附件）</w:t>
      </w:r>
      <w:r>
        <w:rPr>
          <w:rFonts w:hint="eastAsia" w:ascii="仿宋" w:hAnsi="仿宋" w:eastAsia="仿宋" w:cs="仿宋"/>
          <w:color w:val="auto"/>
          <w:sz w:val="32"/>
          <w:szCs w:val="32"/>
          <w:u w:val="none"/>
          <w:lang w:eastAsia="zh-CN"/>
        </w:rPr>
        <w:t>，</w:t>
      </w:r>
      <w:r>
        <w:rPr>
          <w:rFonts w:hint="eastAsia" w:ascii="仿宋" w:hAnsi="仿宋" w:eastAsia="仿宋" w:cs="仿宋"/>
          <w:color w:val="000000"/>
          <w:sz w:val="32"/>
          <w:szCs w:val="32"/>
          <w:u w:val="none"/>
        </w:rPr>
        <w:t>并</w:t>
      </w:r>
      <w:r>
        <w:rPr>
          <w:rFonts w:hint="eastAsia" w:ascii="仿宋" w:hAnsi="仿宋" w:eastAsia="仿宋" w:cs="仿宋"/>
          <w:color w:val="000000"/>
          <w:sz w:val="32"/>
          <w:szCs w:val="32"/>
          <w:u w:val="none"/>
          <w:lang w:eastAsia="zh-CN"/>
        </w:rPr>
        <w:t>适时</w:t>
      </w:r>
      <w:r>
        <w:rPr>
          <w:rFonts w:hint="eastAsia" w:ascii="仿宋" w:hAnsi="仿宋" w:eastAsia="仿宋" w:cs="仿宋"/>
          <w:color w:val="000000"/>
          <w:sz w:val="32"/>
          <w:szCs w:val="32"/>
          <w:u w:val="none"/>
        </w:rPr>
        <w:t>调整。</w:t>
      </w:r>
      <w:r>
        <w:rPr>
          <w:rFonts w:hint="eastAsia" w:ascii="仿宋" w:hAnsi="仿宋" w:eastAsia="仿宋" w:cs="仿宋"/>
          <w:color w:val="000000"/>
          <w:sz w:val="32"/>
          <w:szCs w:val="32"/>
          <w:u w:val="none"/>
          <w:lang w:eastAsia="zh-CN"/>
        </w:rPr>
        <w:t>设区市及县级卫生健康行政部门不再增加长期处方适用疾病病种。</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第十</w:t>
      </w:r>
      <w:r>
        <w:rPr>
          <w:rFonts w:hint="eastAsia" w:ascii="仿宋" w:hAnsi="仿宋" w:eastAsia="仿宋" w:cs="仿宋"/>
          <w:b/>
          <w:color w:val="000000"/>
          <w:sz w:val="32"/>
          <w:szCs w:val="32"/>
          <w:u w:val="none"/>
          <w:lang w:eastAsia="zh-CN"/>
        </w:rPr>
        <w:t>一</w:t>
      </w:r>
      <w:r>
        <w:rPr>
          <w:rFonts w:hint="eastAsia" w:ascii="仿宋" w:hAnsi="仿宋" w:eastAsia="仿宋" w:cs="仿宋"/>
          <w:b/>
          <w:color w:val="000000"/>
          <w:sz w:val="32"/>
          <w:szCs w:val="32"/>
          <w:u w:val="none"/>
        </w:rPr>
        <w:t xml:space="preserve">条 </w:t>
      </w:r>
      <w:r>
        <w:rPr>
          <w:rFonts w:hint="eastAsia" w:ascii="仿宋" w:hAnsi="仿宋" w:eastAsia="仿宋" w:cs="仿宋"/>
          <w:color w:val="000000"/>
          <w:sz w:val="32"/>
          <w:szCs w:val="32"/>
          <w:u w:val="none"/>
        </w:rPr>
        <w:t>医疗机构应当</w:t>
      </w:r>
      <w:r>
        <w:rPr>
          <w:rFonts w:hint="eastAsia" w:ascii="仿宋" w:hAnsi="仿宋" w:eastAsia="仿宋" w:cs="仿宋"/>
          <w:color w:val="000000"/>
          <w:sz w:val="32"/>
          <w:szCs w:val="32"/>
          <w:u w:val="none"/>
          <w:lang w:eastAsia="zh-CN"/>
        </w:rPr>
        <w:t>按照卫生健康行政部门制定的长期处方适用疾病病种范围，为符合条件的患者提供长期处方服务</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第十</w:t>
      </w:r>
      <w:r>
        <w:rPr>
          <w:rFonts w:hint="eastAsia" w:ascii="仿宋" w:hAnsi="仿宋" w:eastAsia="仿宋" w:cs="仿宋"/>
          <w:b/>
          <w:color w:val="000000"/>
          <w:sz w:val="32"/>
          <w:szCs w:val="32"/>
          <w:u w:val="none"/>
          <w:lang w:eastAsia="zh-CN"/>
        </w:rPr>
        <w:t>二</w:t>
      </w:r>
      <w:r>
        <w:rPr>
          <w:rFonts w:hint="eastAsia" w:ascii="仿宋" w:hAnsi="仿宋" w:eastAsia="仿宋" w:cs="仿宋"/>
          <w:b/>
          <w:color w:val="000000"/>
          <w:sz w:val="32"/>
          <w:szCs w:val="32"/>
          <w:u w:val="none"/>
        </w:rPr>
        <w:t xml:space="preserve">条 </w:t>
      </w:r>
      <w:r>
        <w:rPr>
          <w:rFonts w:hint="eastAsia" w:ascii="仿宋" w:hAnsi="仿宋" w:eastAsia="仿宋" w:cs="仿宋"/>
          <w:color w:val="000000"/>
          <w:sz w:val="32"/>
          <w:szCs w:val="32"/>
          <w:u w:val="none"/>
        </w:rPr>
        <w:t>医疗机构应当</w:t>
      </w:r>
      <w:r>
        <w:rPr>
          <w:rFonts w:hint="eastAsia" w:ascii="仿宋" w:hAnsi="仿宋" w:eastAsia="仿宋" w:cs="仿宋"/>
          <w:color w:val="000000"/>
          <w:sz w:val="32"/>
          <w:szCs w:val="32"/>
          <w:u w:val="none"/>
          <w:lang w:eastAsia="zh-CN"/>
        </w:rPr>
        <w:t>在省域长期处方适用疾病病种范围内，根据本机构实际，依据相关诊疗指南和规范等，</w:t>
      </w:r>
      <w:r>
        <w:rPr>
          <w:rFonts w:hint="eastAsia" w:ascii="仿宋" w:hAnsi="仿宋" w:eastAsia="仿宋" w:cs="仿宋"/>
          <w:color w:val="000000"/>
          <w:sz w:val="32"/>
          <w:szCs w:val="32"/>
          <w:u w:val="none"/>
        </w:rPr>
        <w:t>制定</w:t>
      </w:r>
      <w:r>
        <w:rPr>
          <w:rFonts w:hint="eastAsia" w:ascii="仿宋" w:hAnsi="仿宋" w:eastAsia="仿宋" w:cs="仿宋"/>
          <w:color w:val="000000"/>
          <w:sz w:val="32"/>
          <w:szCs w:val="32"/>
          <w:u w:val="none"/>
          <w:lang w:eastAsia="zh-CN"/>
        </w:rPr>
        <w:t>本机构</w:t>
      </w:r>
      <w:r>
        <w:rPr>
          <w:rFonts w:hint="eastAsia" w:ascii="仿宋" w:hAnsi="仿宋" w:eastAsia="仿宋" w:cs="仿宋"/>
          <w:color w:val="000000"/>
          <w:sz w:val="32"/>
          <w:szCs w:val="32"/>
          <w:u w:val="none"/>
        </w:rPr>
        <w:t>长期处方药物目录，并</w:t>
      </w:r>
      <w:r>
        <w:rPr>
          <w:rFonts w:hint="eastAsia" w:ascii="仿宋" w:hAnsi="仿宋" w:eastAsia="仿宋" w:cs="仿宋"/>
          <w:color w:val="000000"/>
          <w:sz w:val="32"/>
          <w:szCs w:val="32"/>
          <w:u w:val="none"/>
          <w:lang w:eastAsia="zh-CN"/>
        </w:rPr>
        <w:t>适时</w:t>
      </w:r>
      <w:r>
        <w:rPr>
          <w:rFonts w:hint="eastAsia" w:ascii="仿宋" w:hAnsi="仿宋" w:eastAsia="仿宋" w:cs="仿宋"/>
          <w:color w:val="000000"/>
          <w:sz w:val="32"/>
          <w:szCs w:val="32"/>
          <w:u w:val="none"/>
        </w:rPr>
        <w:t>调整。</w:t>
      </w:r>
    </w:p>
    <w:p>
      <w:pPr>
        <w:widowControl/>
        <w:shd w:val="clear" w:color="auto" w:fill="FFFFFF"/>
        <w:spacing w:line="450" w:lineRule="atLeast"/>
        <w:ind w:firstLine="640" w:firstLineChars="200"/>
        <w:rPr>
          <w:rFonts w:hint="eastAsia" w:ascii="仿宋" w:hAnsi="仿宋" w:eastAsia="仿宋" w:cs="仿宋"/>
          <w:color w:val="000000"/>
          <w:kern w:val="0"/>
          <w:sz w:val="32"/>
          <w:szCs w:val="32"/>
          <w:u w:val="none"/>
        </w:rPr>
      </w:pPr>
    </w:p>
    <w:p>
      <w:pPr>
        <w:pStyle w:val="4"/>
        <w:spacing w:line="600" w:lineRule="exact"/>
        <w:jc w:val="center"/>
        <w:rPr>
          <w:rFonts w:hint="eastAsia" w:ascii="仿宋" w:hAnsi="仿宋" w:eastAsia="仿宋" w:cs="仿宋"/>
          <w:b/>
          <w:color w:val="000000"/>
          <w:sz w:val="32"/>
          <w:szCs w:val="32"/>
          <w:u w:val="none"/>
          <w:lang w:val="en"/>
        </w:rPr>
      </w:pPr>
      <w:r>
        <w:rPr>
          <w:rFonts w:hint="eastAsia" w:ascii="仿宋" w:hAnsi="仿宋" w:eastAsia="仿宋" w:cs="仿宋"/>
          <w:b/>
          <w:color w:val="000000"/>
          <w:sz w:val="32"/>
          <w:szCs w:val="32"/>
          <w:u w:val="none"/>
          <w:lang w:val="en-US" w:eastAsia="zh-CN"/>
        </w:rPr>
        <w:t xml:space="preserve">第三章  </w:t>
      </w:r>
      <w:r>
        <w:rPr>
          <w:rFonts w:hint="eastAsia" w:ascii="仿宋" w:hAnsi="仿宋" w:eastAsia="仿宋" w:cs="仿宋"/>
          <w:b/>
          <w:color w:val="000000"/>
          <w:sz w:val="32"/>
          <w:szCs w:val="32"/>
          <w:u w:val="none"/>
          <w:lang w:val="en" w:eastAsia="zh-CN"/>
        </w:rPr>
        <w:t>组织管理</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十三</w:t>
      </w:r>
      <w:r>
        <w:rPr>
          <w:rFonts w:hint="eastAsia" w:ascii="仿宋" w:hAnsi="仿宋" w:eastAsia="仿宋" w:cs="仿宋"/>
          <w:b/>
          <w:color w:val="000000"/>
          <w:sz w:val="32"/>
          <w:szCs w:val="32"/>
          <w:u w:val="none"/>
        </w:rPr>
        <w:t xml:space="preserve">条 </w:t>
      </w:r>
      <w:r>
        <w:rPr>
          <w:rFonts w:hint="eastAsia" w:ascii="仿宋" w:hAnsi="仿宋" w:eastAsia="仿宋" w:cs="仿宋"/>
          <w:color w:val="000000"/>
          <w:sz w:val="32"/>
          <w:szCs w:val="32"/>
          <w:u w:val="none"/>
        </w:rPr>
        <w:t>医疗机构应当履行本机构长期处方管理的主体责任，建立健全本机构长期处方管理工作制度，</w:t>
      </w:r>
      <w:r>
        <w:rPr>
          <w:rFonts w:hint="eastAsia" w:ascii="仿宋" w:hAnsi="仿宋" w:eastAsia="仿宋" w:cs="仿宋"/>
          <w:color w:val="000000"/>
          <w:sz w:val="32"/>
          <w:szCs w:val="32"/>
          <w:u w:val="none"/>
          <w:lang w:eastAsia="zh-CN"/>
        </w:rPr>
        <w:t>在</w:t>
      </w:r>
      <w:r>
        <w:rPr>
          <w:rFonts w:hint="eastAsia" w:ascii="仿宋" w:hAnsi="仿宋" w:eastAsia="仿宋" w:cs="仿宋"/>
          <w:color w:val="000000"/>
          <w:sz w:val="32"/>
          <w:szCs w:val="32"/>
          <w:u w:val="none"/>
        </w:rPr>
        <w:t>保障医疗质量和医疗安全</w:t>
      </w:r>
      <w:r>
        <w:rPr>
          <w:rFonts w:hint="eastAsia" w:ascii="仿宋" w:hAnsi="仿宋" w:eastAsia="仿宋" w:cs="仿宋"/>
          <w:color w:val="000000"/>
          <w:sz w:val="32"/>
          <w:szCs w:val="32"/>
          <w:u w:val="none"/>
          <w:lang w:eastAsia="zh-CN"/>
        </w:rPr>
        <w:t>的前提下</w:t>
      </w:r>
      <w:r>
        <w:rPr>
          <w:rFonts w:hint="eastAsia" w:ascii="仿宋" w:hAnsi="仿宋" w:eastAsia="仿宋" w:cs="仿宋"/>
          <w:color w:val="000000"/>
          <w:sz w:val="32"/>
          <w:szCs w:val="32"/>
          <w:u w:val="none"/>
        </w:rPr>
        <w:t>，满足患者用药需求。</w:t>
      </w:r>
    </w:p>
    <w:p>
      <w:pPr>
        <w:rPr>
          <w:u w:val="none"/>
        </w:rPr>
      </w:pP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rPr>
        <w:t>第十</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医疗机构</w:t>
      </w:r>
      <w:r>
        <w:rPr>
          <w:rFonts w:hint="eastAsia" w:ascii="仿宋" w:hAnsi="仿宋" w:eastAsia="仿宋" w:cs="仿宋"/>
          <w:color w:val="000000"/>
          <w:sz w:val="32"/>
          <w:szCs w:val="32"/>
          <w:u w:val="none"/>
          <w:lang w:eastAsia="zh-CN"/>
        </w:rPr>
        <w:t>，特别是基层医疗卫生机构</w:t>
      </w:r>
      <w:r>
        <w:rPr>
          <w:rFonts w:hint="eastAsia" w:ascii="仿宋" w:hAnsi="仿宋" w:eastAsia="仿宋" w:cs="仿宋"/>
          <w:color w:val="000000"/>
          <w:sz w:val="32"/>
          <w:szCs w:val="32"/>
          <w:u w:val="none"/>
        </w:rPr>
        <w:t>应当加强长期处方用药的配备，确保患者长期用药可及、稳定。</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第十</w:t>
      </w:r>
      <w:r>
        <w:rPr>
          <w:rFonts w:hint="eastAsia" w:ascii="仿宋" w:hAnsi="仿宋" w:eastAsia="仿宋" w:cs="仿宋"/>
          <w:b/>
          <w:color w:val="000000"/>
          <w:sz w:val="32"/>
          <w:szCs w:val="32"/>
          <w:u w:val="none"/>
          <w:lang w:eastAsia="zh-CN"/>
        </w:rPr>
        <w:t>五</w:t>
      </w:r>
      <w:r>
        <w:rPr>
          <w:rFonts w:hint="eastAsia" w:ascii="仿宋" w:hAnsi="仿宋" w:eastAsia="仿宋" w:cs="仿宋"/>
          <w:b/>
          <w:color w:val="000000"/>
          <w:sz w:val="32"/>
          <w:szCs w:val="32"/>
          <w:u w:val="none"/>
        </w:rPr>
        <w:t xml:space="preserve">条 </w:t>
      </w:r>
      <w:r>
        <w:rPr>
          <w:rFonts w:hint="eastAsia" w:ascii="仿宋" w:hAnsi="仿宋" w:eastAsia="仿宋" w:cs="仿宋"/>
          <w:color w:val="000000"/>
          <w:sz w:val="32"/>
          <w:szCs w:val="32"/>
          <w:u w:val="none"/>
        </w:rPr>
        <w:t>开具长期处方的医疗机构，应当配备具有评估患者病情能力的医师、能够审核调剂长期处方的药师（含其他药学技术人员，下同）以及相应的设备设施等条件，保障患者长期用药的质量和安全。</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rPr>
        <w:t>基层医疗卫生机构不具备相应条件的，可以通过远程会诊、互联网复诊、医院会诊等途径在</w:t>
      </w:r>
      <w:r>
        <w:rPr>
          <w:rFonts w:hint="eastAsia" w:ascii="仿宋" w:hAnsi="仿宋" w:eastAsia="仿宋" w:cs="仿宋"/>
          <w:color w:val="000000"/>
          <w:sz w:val="32"/>
          <w:szCs w:val="32"/>
          <w:u w:val="none"/>
          <w:lang w:eastAsia="zh-CN"/>
        </w:rPr>
        <w:t>具备条件的</w:t>
      </w:r>
      <w:r>
        <w:rPr>
          <w:rFonts w:hint="eastAsia" w:ascii="仿宋" w:hAnsi="仿宋" w:eastAsia="仿宋" w:cs="仿宋"/>
          <w:color w:val="000000"/>
          <w:sz w:val="32"/>
          <w:szCs w:val="32"/>
          <w:u w:val="none"/>
        </w:rPr>
        <w:t>上级医疗机构指导下结合实际，开</w:t>
      </w:r>
      <w:r>
        <w:rPr>
          <w:rFonts w:hint="eastAsia" w:ascii="仿宋" w:hAnsi="仿宋" w:eastAsia="仿宋" w:cs="仿宋"/>
          <w:color w:val="000000"/>
          <w:sz w:val="32"/>
          <w:szCs w:val="32"/>
          <w:u w:val="none"/>
          <w:lang w:eastAsia="zh-CN"/>
        </w:rPr>
        <w:t>具</w:t>
      </w:r>
      <w:r>
        <w:rPr>
          <w:rFonts w:hint="eastAsia" w:ascii="仿宋" w:hAnsi="仿宋" w:eastAsia="仿宋" w:cs="仿宋"/>
          <w:color w:val="000000"/>
          <w:sz w:val="32"/>
          <w:szCs w:val="32"/>
          <w:u w:val="none"/>
        </w:rPr>
        <w:t>时间</w:t>
      </w:r>
      <w:r>
        <w:rPr>
          <w:rFonts w:hint="eastAsia" w:ascii="仿宋" w:hAnsi="仿宋" w:eastAsia="仿宋" w:cs="仿宋"/>
          <w:color w:val="000000"/>
          <w:sz w:val="32"/>
          <w:szCs w:val="32"/>
          <w:u w:val="none"/>
          <w:lang w:eastAsia="zh-CN"/>
        </w:rPr>
        <w:t>适</w:t>
      </w:r>
      <w:r>
        <w:rPr>
          <w:rFonts w:hint="eastAsia" w:ascii="仿宋" w:hAnsi="仿宋" w:eastAsia="仿宋" w:cs="仿宋"/>
          <w:color w:val="000000"/>
          <w:sz w:val="32"/>
          <w:szCs w:val="32"/>
          <w:u w:val="none"/>
        </w:rPr>
        <w:t>宜的长</w:t>
      </w:r>
      <w:r>
        <w:rPr>
          <w:rFonts w:hint="eastAsia" w:ascii="仿宋" w:hAnsi="仿宋" w:eastAsia="仿宋" w:cs="仿宋"/>
          <w:color w:val="000000"/>
          <w:sz w:val="32"/>
          <w:szCs w:val="32"/>
          <w:u w:val="none"/>
          <w:lang w:eastAsia="zh-CN"/>
        </w:rPr>
        <w:t>期</w:t>
      </w:r>
      <w:r>
        <w:rPr>
          <w:rFonts w:hint="eastAsia" w:ascii="仿宋" w:hAnsi="仿宋" w:eastAsia="仿宋" w:cs="仿宋"/>
          <w:color w:val="000000"/>
          <w:sz w:val="32"/>
          <w:szCs w:val="32"/>
          <w:u w:val="none"/>
        </w:rPr>
        <w:t>处方</w:t>
      </w:r>
      <w:r>
        <w:rPr>
          <w:rFonts w:hint="eastAsia" w:ascii="仿宋" w:hAnsi="仿宋" w:eastAsia="仿宋" w:cs="仿宋"/>
          <w:color w:val="000000"/>
          <w:sz w:val="32"/>
          <w:szCs w:val="32"/>
          <w:u w:val="none"/>
          <w:lang w:eastAsia="zh-CN"/>
        </w:rPr>
        <w:t>。</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第十</w:t>
      </w:r>
      <w:r>
        <w:rPr>
          <w:rFonts w:hint="eastAsia" w:ascii="仿宋" w:hAnsi="仿宋" w:eastAsia="仿宋" w:cs="仿宋"/>
          <w:b/>
          <w:color w:val="000000"/>
          <w:sz w:val="32"/>
          <w:szCs w:val="32"/>
          <w:u w:val="none"/>
          <w:lang w:eastAsia="zh-CN"/>
        </w:rPr>
        <w:t>六</w:t>
      </w:r>
      <w:r>
        <w:rPr>
          <w:rFonts w:hint="eastAsia" w:ascii="仿宋" w:hAnsi="仿宋" w:eastAsia="仿宋" w:cs="仿宋"/>
          <w:b/>
          <w:color w:val="000000"/>
          <w:sz w:val="32"/>
          <w:szCs w:val="32"/>
          <w:u w:val="none"/>
        </w:rPr>
        <w:t xml:space="preserve">条 </w:t>
      </w:r>
      <w:r>
        <w:rPr>
          <w:rFonts w:hint="eastAsia" w:ascii="仿宋" w:hAnsi="仿宋" w:eastAsia="仿宋" w:cs="仿宋"/>
          <w:color w:val="000000"/>
          <w:sz w:val="32"/>
          <w:szCs w:val="32"/>
          <w:u w:val="none"/>
        </w:rPr>
        <w:t>开具长期处方的医疗机构，</w:t>
      </w:r>
      <w:r>
        <w:rPr>
          <w:rFonts w:hint="eastAsia" w:ascii="仿宋" w:hAnsi="仿宋" w:eastAsia="仿宋" w:cs="仿宋"/>
          <w:color w:val="000000"/>
          <w:sz w:val="32"/>
          <w:szCs w:val="32"/>
          <w:u w:val="none"/>
          <w:lang w:eastAsia="zh-CN"/>
        </w:rPr>
        <w:t>应当</w:t>
      </w:r>
      <w:r>
        <w:rPr>
          <w:rFonts w:hint="eastAsia" w:ascii="仿宋" w:hAnsi="仿宋" w:eastAsia="仿宋" w:cs="仿宋"/>
          <w:color w:val="000000"/>
          <w:sz w:val="32"/>
          <w:szCs w:val="32"/>
          <w:u w:val="none"/>
        </w:rPr>
        <w:t>对</w:t>
      </w:r>
      <w:r>
        <w:rPr>
          <w:rFonts w:hint="eastAsia" w:ascii="仿宋" w:hAnsi="仿宋" w:eastAsia="仿宋" w:cs="仿宋"/>
          <w:color w:val="000000"/>
          <w:sz w:val="32"/>
          <w:szCs w:val="32"/>
          <w:u w:val="none"/>
          <w:lang w:eastAsia="zh-CN"/>
        </w:rPr>
        <w:t>本机构</w:t>
      </w:r>
      <w:r>
        <w:rPr>
          <w:rFonts w:hint="eastAsia" w:ascii="仿宋" w:hAnsi="仿宋" w:eastAsia="仿宋" w:cs="仿宋"/>
          <w:color w:val="000000"/>
          <w:sz w:val="32"/>
          <w:szCs w:val="32"/>
          <w:u w:val="none"/>
        </w:rPr>
        <w:t>开具长期处方</w:t>
      </w:r>
      <w:r>
        <w:rPr>
          <w:rFonts w:hint="eastAsia" w:ascii="仿宋" w:hAnsi="仿宋" w:eastAsia="仿宋" w:cs="仿宋"/>
          <w:color w:val="000000"/>
          <w:sz w:val="32"/>
          <w:szCs w:val="32"/>
          <w:u w:val="none"/>
          <w:lang w:eastAsia="zh-CN"/>
        </w:rPr>
        <w:t>的</w:t>
      </w:r>
      <w:r>
        <w:rPr>
          <w:rFonts w:hint="eastAsia" w:ascii="仿宋" w:hAnsi="仿宋" w:eastAsia="仿宋" w:cs="仿宋"/>
          <w:color w:val="000000"/>
          <w:sz w:val="32"/>
          <w:szCs w:val="32"/>
          <w:u w:val="none"/>
        </w:rPr>
        <w:t>医师和审核调剂长期处方</w:t>
      </w:r>
      <w:r>
        <w:rPr>
          <w:rFonts w:hint="eastAsia" w:ascii="仿宋" w:hAnsi="仿宋" w:eastAsia="仿宋" w:cs="仿宋"/>
          <w:color w:val="000000"/>
          <w:sz w:val="32"/>
          <w:szCs w:val="32"/>
          <w:u w:val="none"/>
          <w:lang w:eastAsia="zh-CN"/>
        </w:rPr>
        <w:t>的</w:t>
      </w:r>
      <w:r>
        <w:rPr>
          <w:rFonts w:hint="eastAsia" w:ascii="仿宋" w:hAnsi="仿宋" w:eastAsia="仿宋" w:cs="仿宋"/>
          <w:color w:val="000000"/>
          <w:sz w:val="32"/>
          <w:szCs w:val="32"/>
          <w:u w:val="none"/>
        </w:rPr>
        <w:t>药师</w:t>
      </w:r>
      <w:r>
        <w:rPr>
          <w:rFonts w:hint="eastAsia" w:ascii="仿宋" w:hAnsi="仿宋" w:eastAsia="仿宋" w:cs="仿宋"/>
          <w:color w:val="000000"/>
          <w:sz w:val="32"/>
          <w:szCs w:val="32"/>
          <w:u w:val="none"/>
          <w:lang w:eastAsia="zh-CN"/>
        </w:rPr>
        <w:t>进行</w:t>
      </w:r>
      <w:r>
        <w:rPr>
          <w:rFonts w:hint="eastAsia" w:ascii="仿宋" w:hAnsi="仿宋" w:eastAsia="仿宋" w:cs="仿宋"/>
          <w:color w:val="000000"/>
          <w:sz w:val="32"/>
          <w:szCs w:val="32"/>
          <w:u w:val="none"/>
        </w:rPr>
        <w:t>培训，</w:t>
      </w:r>
      <w:r>
        <w:rPr>
          <w:rFonts w:hint="eastAsia" w:ascii="仿宋" w:hAnsi="仿宋" w:eastAsia="仿宋" w:cs="仿宋"/>
          <w:color w:val="000000"/>
          <w:sz w:val="32"/>
          <w:szCs w:val="32"/>
          <w:u w:val="none"/>
          <w:lang w:eastAsia="zh-CN"/>
        </w:rPr>
        <w:t>并组织考核，坚持“不培训不授权，考核不合格不授权”</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第十</w:t>
      </w:r>
      <w:r>
        <w:rPr>
          <w:rFonts w:hint="eastAsia" w:ascii="仿宋" w:hAnsi="仿宋" w:eastAsia="仿宋" w:cs="仿宋"/>
          <w:b/>
          <w:color w:val="000000"/>
          <w:sz w:val="32"/>
          <w:szCs w:val="32"/>
          <w:u w:val="none"/>
          <w:lang w:eastAsia="zh-CN"/>
        </w:rPr>
        <w:t>七</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lang w:eastAsia="zh-CN"/>
        </w:rPr>
        <w:t>医疗机构提供长期处方服务应当</w:t>
      </w:r>
      <w:r>
        <w:rPr>
          <w:rFonts w:hint="eastAsia" w:ascii="仿宋" w:hAnsi="仿宋" w:eastAsia="仿宋" w:cs="仿宋"/>
          <w:color w:val="000000"/>
          <w:sz w:val="32"/>
          <w:szCs w:val="32"/>
          <w:u w:val="none"/>
        </w:rPr>
        <w:t>简化程序</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优化流程</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可以在普通内科、老年医学、全科医学等科室，为患有多种疾病的老年患者提供“一站式”长期处方服务，解决老年患者多科室就医取药问题。</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第十</w:t>
      </w:r>
      <w:r>
        <w:rPr>
          <w:rFonts w:hint="eastAsia" w:ascii="仿宋" w:hAnsi="仿宋" w:eastAsia="仿宋" w:cs="仿宋"/>
          <w:b/>
          <w:color w:val="000000"/>
          <w:sz w:val="32"/>
          <w:szCs w:val="32"/>
          <w:u w:val="none"/>
          <w:lang w:eastAsia="zh-CN"/>
        </w:rPr>
        <w:t>八</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鼓励开设慢病药学门诊，由相关专科临床药师对长期处方患者进行用药指导和用药教育，告知药品保存要求、服药期间需要定期监测的指标、服药过程中自我识别可能出现的药物不良反应。</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第十</w:t>
      </w:r>
      <w:r>
        <w:rPr>
          <w:rFonts w:hint="eastAsia" w:ascii="仿宋" w:hAnsi="仿宋" w:eastAsia="仿宋" w:cs="仿宋"/>
          <w:b/>
          <w:color w:val="000000"/>
          <w:sz w:val="32"/>
          <w:szCs w:val="32"/>
          <w:u w:val="none"/>
          <w:lang w:eastAsia="zh-CN"/>
        </w:rPr>
        <w:t>九</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各级卫生健康行政部门和医疗机构不得以费用控制、药占比、绩效考核等为由影响长期处方的开具。</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rPr>
        <w:t>各级卫生健康行政部门和医疗机构应当加强长期处方的审核、点评、合理用药考核等工作，长期处方产生的药品费用</w:t>
      </w:r>
      <w:r>
        <w:rPr>
          <w:rFonts w:hint="eastAsia" w:ascii="仿宋" w:hAnsi="仿宋" w:eastAsia="仿宋" w:cs="仿宋"/>
          <w:color w:val="000000"/>
          <w:sz w:val="32"/>
          <w:szCs w:val="32"/>
          <w:u w:val="none"/>
          <w:lang w:eastAsia="zh-CN"/>
        </w:rPr>
        <w:t>不</w:t>
      </w:r>
      <w:r>
        <w:rPr>
          <w:rFonts w:hint="eastAsia" w:ascii="仿宋" w:hAnsi="仿宋" w:eastAsia="仿宋" w:cs="仿宋"/>
          <w:color w:val="000000"/>
          <w:sz w:val="32"/>
          <w:szCs w:val="32"/>
          <w:u w:val="none"/>
        </w:rPr>
        <w:t>纳入门诊次均费用、门诊药品次均费用考核，其他考核工作也应当视情况将长期处方进行单独管理。</w:t>
      </w:r>
    </w:p>
    <w:p>
      <w:pPr>
        <w:widowControl/>
        <w:spacing w:line="600" w:lineRule="atLeast"/>
        <w:ind w:firstLine="640"/>
        <w:rPr>
          <w:rFonts w:ascii="等线" w:hAnsi="等线" w:eastAsia="等线" w:cs="宋体"/>
          <w:color w:val="000000"/>
          <w:kern w:val="0"/>
          <w:szCs w:val="21"/>
          <w:u w:val="none"/>
        </w:rPr>
      </w:pPr>
    </w:p>
    <w:p>
      <w:pPr>
        <w:pStyle w:val="4"/>
        <w:spacing w:line="600" w:lineRule="exact"/>
        <w:jc w:val="center"/>
        <w:rPr>
          <w:rFonts w:hint="eastAsia" w:ascii="仿宋" w:hAnsi="仿宋" w:eastAsia="仿宋" w:cs="仿宋"/>
          <w:b/>
          <w:color w:val="000000"/>
          <w:sz w:val="32"/>
          <w:szCs w:val="32"/>
          <w:u w:val="none"/>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章</w:t>
      </w:r>
      <w:r>
        <w:rPr>
          <w:rFonts w:hint="default" w:ascii="仿宋" w:hAnsi="仿宋" w:eastAsia="仿宋" w:cs="仿宋"/>
          <w:b/>
          <w:color w:val="000000"/>
          <w:sz w:val="32"/>
          <w:szCs w:val="32"/>
          <w:u w:val="none"/>
          <w:lang w:val="en"/>
        </w:rPr>
        <w:t xml:space="preserve">  </w:t>
      </w:r>
      <w:r>
        <w:rPr>
          <w:rFonts w:hint="eastAsia" w:ascii="仿宋" w:hAnsi="仿宋" w:eastAsia="仿宋" w:cs="仿宋"/>
          <w:b/>
          <w:color w:val="000000"/>
          <w:sz w:val="32"/>
          <w:szCs w:val="32"/>
          <w:u w:val="none"/>
        </w:rPr>
        <w:t>长期处方开具与终止</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二</w:t>
      </w:r>
      <w:r>
        <w:rPr>
          <w:rFonts w:hint="eastAsia" w:ascii="仿宋" w:hAnsi="仿宋" w:eastAsia="仿宋" w:cs="仿宋"/>
          <w:b/>
          <w:color w:val="000000"/>
          <w:sz w:val="32"/>
          <w:szCs w:val="32"/>
          <w:u w:val="none"/>
        </w:rPr>
        <w:t>十条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对提出长期处方申请的患者，医师必须亲自诊查</w:t>
      </w:r>
      <w:r>
        <w:rPr>
          <w:rFonts w:hint="eastAsia" w:ascii="仿宋" w:hAnsi="仿宋" w:eastAsia="仿宋" w:cs="仿宋"/>
          <w:color w:val="000000"/>
          <w:sz w:val="32"/>
          <w:szCs w:val="32"/>
          <w:u w:val="none"/>
          <w:lang w:eastAsia="zh-CN"/>
        </w:rPr>
        <w:t>，对患者病情进行评估，</w:t>
      </w:r>
      <w:r>
        <w:rPr>
          <w:rFonts w:hint="eastAsia" w:ascii="仿宋" w:hAnsi="仿宋" w:eastAsia="仿宋" w:cs="仿宋"/>
          <w:color w:val="000000"/>
          <w:sz w:val="32"/>
          <w:szCs w:val="32"/>
          <w:u w:val="none"/>
        </w:rPr>
        <w:t>对其是否符合长期处方条件作出判断。</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rPr>
        <w:t>医师在诊疗活动中，可以向符合条件的患者主动提出长期处方建议。</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二</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一</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医师应当向患者说明使用长期处方的注意事项，并由其自愿选择是否使用；对不符合条件的患者，应当向患者说明原因。</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二</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二</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根据患者诊疗需要，长期处方的处方量一般在4周</w:t>
      </w:r>
      <w:r>
        <w:rPr>
          <w:rFonts w:hint="eastAsia" w:ascii="仿宋" w:hAnsi="仿宋" w:eastAsia="仿宋" w:cs="仿宋"/>
          <w:color w:val="000000"/>
          <w:sz w:val="32"/>
          <w:szCs w:val="32"/>
          <w:u w:val="none"/>
          <w:lang w:eastAsia="zh-CN"/>
        </w:rPr>
        <w:t>或</w:t>
      </w:r>
      <w:r>
        <w:rPr>
          <w:rFonts w:hint="eastAsia" w:ascii="仿宋" w:hAnsi="仿宋" w:eastAsia="仿宋" w:cs="仿宋"/>
          <w:color w:val="000000"/>
          <w:sz w:val="32"/>
          <w:szCs w:val="32"/>
          <w:u w:val="none"/>
          <w:lang w:val="en-US" w:eastAsia="zh-CN"/>
        </w:rPr>
        <w:t>30天</w:t>
      </w:r>
      <w:r>
        <w:rPr>
          <w:rFonts w:hint="eastAsia" w:ascii="仿宋" w:hAnsi="仿宋" w:eastAsia="仿宋" w:cs="仿宋"/>
          <w:color w:val="000000"/>
          <w:sz w:val="32"/>
          <w:szCs w:val="32"/>
          <w:u w:val="none"/>
        </w:rPr>
        <w:t>内；根据慢性病特点，病情稳定的患者适当延长，最长不超过12周</w:t>
      </w:r>
      <w:r>
        <w:rPr>
          <w:rFonts w:hint="eastAsia" w:ascii="仿宋" w:hAnsi="仿宋" w:eastAsia="仿宋" w:cs="仿宋"/>
          <w:color w:val="000000"/>
          <w:sz w:val="32"/>
          <w:szCs w:val="32"/>
          <w:u w:val="none"/>
          <w:lang w:eastAsia="zh-CN"/>
        </w:rPr>
        <w:t>或</w:t>
      </w:r>
      <w:r>
        <w:rPr>
          <w:rFonts w:hint="eastAsia" w:ascii="仿宋" w:hAnsi="仿宋" w:eastAsia="仿宋" w:cs="仿宋"/>
          <w:color w:val="000000"/>
          <w:sz w:val="32"/>
          <w:szCs w:val="32"/>
          <w:u w:val="none"/>
          <w:lang w:val="en-US" w:eastAsia="zh-CN"/>
        </w:rPr>
        <w:t>90天</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超过4周的长期处方，医师应当严格评估，强化患者教育，</w:t>
      </w:r>
      <w:r>
        <w:rPr>
          <w:rFonts w:hint="eastAsia" w:ascii="仿宋" w:hAnsi="仿宋" w:eastAsia="仿宋" w:cs="仿宋"/>
          <w:color w:val="000000"/>
          <w:sz w:val="32"/>
          <w:szCs w:val="32"/>
          <w:u w:val="none"/>
          <w:lang w:eastAsia="zh-CN"/>
        </w:rPr>
        <w:t>充分告知用药风险，</w:t>
      </w:r>
      <w:r>
        <w:rPr>
          <w:rFonts w:hint="eastAsia" w:ascii="仿宋" w:hAnsi="仿宋" w:eastAsia="仿宋" w:cs="仿宋"/>
          <w:color w:val="000000"/>
          <w:sz w:val="32"/>
          <w:szCs w:val="32"/>
          <w:u w:val="none"/>
        </w:rPr>
        <w:t>并在病历中记录，患者通过签字等方式确认。</w:t>
      </w:r>
    </w:p>
    <w:p>
      <w:pPr>
        <w:widowControl/>
        <w:spacing w:line="600" w:lineRule="atLeast"/>
        <w:ind w:firstLine="640"/>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首次长期处方用量一般不超过</w:t>
      </w:r>
      <w:r>
        <w:rPr>
          <w:rFonts w:hint="eastAsia" w:ascii="仿宋" w:hAnsi="仿宋" w:eastAsia="仿宋" w:cs="仿宋"/>
          <w:color w:val="000000"/>
          <w:sz w:val="32"/>
          <w:szCs w:val="32"/>
          <w:u w:val="none"/>
          <w:lang w:val="en-US" w:eastAsia="zh-CN"/>
        </w:rPr>
        <w:t>4周。</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二</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lang w:eastAsia="zh-CN"/>
        </w:rPr>
        <w:t>首次长期处方必须在实体医疗机构开具</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第二十</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首次开具长期处方前，医师应当对患者的既往史、现病史、用药方案、依从性、病情控制情况等进行全面评估，在确定当前用药方案安全、有效、稳定的情况下，方可为患者开具长期处方。</w:t>
      </w:r>
    </w:p>
    <w:p>
      <w:pPr>
        <w:pStyle w:val="4"/>
        <w:numPr>
          <w:ilvl w:val="0"/>
          <w:numId w:val="0"/>
        </w:numPr>
        <w:spacing w:line="600" w:lineRule="exact"/>
        <w:rPr>
          <w:rFonts w:hint="eastAsia" w:ascii="仿宋" w:hAnsi="仿宋" w:eastAsia="仿宋" w:cs="仿宋"/>
          <w:b/>
          <w:color w:val="000000"/>
          <w:sz w:val="32"/>
          <w:szCs w:val="32"/>
          <w:u w:val="none"/>
        </w:rPr>
      </w:pP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rPr>
        <w:t>第二十</w:t>
      </w:r>
      <w:r>
        <w:rPr>
          <w:rFonts w:hint="eastAsia" w:ascii="仿宋" w:hAnsi="仿宋" w:eastAsia="仿宋" w:cs="仿宋"/>
          <w:b/>
          <w:color w:val="000000"/>
          <w:sz w:val="32"/>
          <w:szCs w:val="32"/>
          <w:u w:val="none"/>
          <w:lang w:eastAsia="zh-CN"/>
        </w:rPr>
        <w:t>五</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鼓励由基层医疗卫生机构开具长期处方，不适宜在基层治疗的慢性病长期处方应当由二级以上医疗机构开具。</w:t>
      </w:r>
      <w:r>
        <w:rPr>
          <w:rFonts w:hint="eastAsia" w:ascii="仿宋" w:hAnsi="仿宋" w:eastAsia="仿宋" w:cs="仿宋"/>
          <w:color w:val="000000"/>
          <w:sz w:val="32"/>
          <w:szCs w:val="32"/>
          <w:u w:val="none"/>
          <w:lang w:eastAsia="zh-CN"/>
        </w:rPr>
        <w:t>医联体牵头单位应当加强对医联体内基层医疗卫生机构长期处方管理与指导。</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第二十</w:t>
      </w:r>
      <w:r>
        <w:rPr>
          <w:rFonts w:hint="eastAsia" w:ascii="仿宋" w:hAnsi="仿宋" w:eastAsia="仿宋" w:cs="仿宋"/>
          <w:b/>
          <w:color w:val="000000"/>
          <w:sz w:val="32"/>
          <w:szCs w:val="32"/>
          <w:u w:val="none"/>
          <w:lang w:eastAsia="zh-CN"/>
        </w:rPr>
        <w:t>六</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原则上，首次长期处方应当由二级以上医疗机构具有与疾病相关专业的中级以上专业技术职务任职资格的医师开具，或由基层医疗卫生机构具有中级以上专业技术职务任职资格的医师开具。再次开具长期处方时，应当由二级以上医疗机构疾病相关专业医师，或基层医疗卫生机构医师开具。</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rPr>
        <w:t>鼓励患者通过基层医疗卫生机构签约家庭医生开具长期处方</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基层医疗卫生机构签约家庭医生</w:t>
      </w:r>
      <w:r>
        <w:rPr>
          <w:rFonts w:hint="eastAsia" w:ascii="仿宋" w:hAnsi="仿宋" w:eastAsia="仿宋" w:cs="仿宋"/>
          <w:color w:val="000000"/>
          <w:sz w:val="32"/>
          <w:szCs w:val="32"/>
          <w:u w:val="none"/>
          <w:lang w:eastAsia="zh-CN"/>
        </w:rPr>
        <w:t>根据患者病情或通过上级医疗机构远程指导为患者开具长期处方，相关情况记录于居民健康档案或病历。</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rPr>
        <w:t>边远地区或条件不具备的地区可适当放宽要求，</w:t>
      </w:r>
      <w:r>
        <w:rPr>
          <w:rFonts w:hint="eastAsia" w:ascii="仿宋" w:hAnsi="仿宋" w:eastAsia="仿宋" w:cs="仿宋"/>
          <w:color w:val="000000"/>
          <w:sz w:val="32"/>
          <w:szCs w:val="32"/>
          <w:u w:val="none"/>
          <w:lang w:eastAsia="zh-CN"/>
        </w:rPr>
        <w:t>报设区市卫生健康行政部门审核同意后实施</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第二十</w:t>
      </w:r>
      <w:r>
        <w:rPr>
          <w:rFonts w:hint="eastAsia" w:ascii="仿宋" w:hAnsi="仿宋" w:eastAsia="仿宋" w:cs="仿宋"/>
          <w:b/>
          <w:color w:val="000000"/>
          <w:sz w:val="32"/>
          <w:szCs w:val="32"/>
          <w:u w:val="none"/>
          <w:lang w:eastAsia="zh-CN"/>
        </w:rPr>
        <w:t>七</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首次开具长期处方</w:t>
      </w:r>
      <w:r>
        <w:rPr>
          <w:rFonts w:hint="eastAsia" w:ascii="仿宋" w:hAnsi="仿宋" w:eastAsia="仿宋" w:cs="仿宋"/>
          <w:color w:val="000000"/>
          <w:sz w:val="32"/>
          <w:szCs w:val="32"/>
          <w:u w:val="none"/>
          <w:lang w:eastAsia="zh-CN"/>
        </w:rPr>
        <w:t>、开具用量超过</w:t>
      </w:r>
      <w:r>
        <w:rPr>
          <w:rFonts w:hint="eastAsia" w:ascii="仿宋" w:hAnsi="仿宋" w:eastAsia="仿宋" w:cs="仿宋"/>
          <w:color w:val="000000"/>
          <w:sz w:val="32"/>
          <w:szCs w:val="32"/>
          <w:u w:val="none"/>
          <w:lang w:val="en-US" w:eastAsia="zh-CN"/>
        </w:rPr>
        <w:t>4周的长期处方或在上级医疗机构医师指导下开具长期处方</w:t>
      </w:r>
      <w:r>
        <w:rPr>
          <w:rFonts w:hint="eastAsia" w:ascii="仿宋" w:hAnsi="仿宋" w:eastAsia="仿宋" w:cs="仿宋"/>
          <w:color w:val="000000"/>
          <w:sz w:val="32"/>
          <w:szCs w:val="32"/>
          <w:u w:val="none"/>
        </w:rPr>
        <w:t>，应当在患者病历中详细记录有关信息</w:t>
      </w:r>
      <w:r>
        <w:rPr>
          <w:rFonts w:hint="eastAsia" w:ascii="仿宋" w:hAnsi="仿宋" w:eastAsia="仿宋" w:cs="仿宋"/>
          <w:color w:val="000000"/>
          <w:sz w:val="32"/>
          <w:szCs w:val="32"/>
          <w:u w:val="none"/>
          <w:lang w:eastAsia="zh-CN"/>
        </w:rPr>
        <w:t>，并按照医疗机构病历管理要求做好门诊病历管理</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第二十</w:t>
      </w:r>
      <w:r>
        <w:rPr>
          <w:rFonts w:hint="eastAsia" w:ascii="仿宋" w:hAnsi="仿宋" w:eastAsia="仿宋" w:cs="仿宋"/>
          <w:b/>
          <w:color w:val="000000"/>
          <w:sz w:val="32"/>
          <w:szCs w:val="32"/>
          <w:u w:val="none"/>
          <w:lang w:eastAsia="zh-CN"/>
        </w:rPr>
        <w:t>八</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师应当根据患者病历信息中的首次开具的长期处方信息和健康档案，对患者进行评估。经评估认为患者病情稳定并达到长期用药管理目标的，可以再次开具长期处方，并在患者病历中记录；不符合条件的，终止使用长期处方。</w:t>
      </w:r>
    </w:p>
    <w:p>
      <w:pPr>
        <w:widowControl/>
        <w:spacing w:line="600" w:lineRule="atLeast"/>
        <w:ind w:firstLine="640"/>
        <w:rPr>
          <w:rFonts w:hint="eastAsia" w:ascii="仿宋" w:hAnsi="仿宋" w:eastAsia="仿宋" w:cs="仿宋"/>
          <w:color w:val="000000"/>
          <w:kern w:val="0"/>
          <w:sz w:val="23"/>
          <w:szCs w:val="23"/>
          <w:u w:val="none"/>
          <w:lang w:eastAsia="zh-CN"/>
        </w:rPr>
      </w:pPr>
      <w:r>
        <w:rPr>
          <w:rFonts w:hint="eastAsia" w:ascii="仿宋" w:hAnsi="仿宋" w:eastAsia="仿宋" w:cs="仿宋"/>
          <w:color w:val="000000"/>
          <w:sz w:val="32"/>
          <w:szCs w:val="32"/>
          <w:u w:val="none"/>
        </w:rPr>
        <w:t>停用后再次使用长期处方的，应当按照首次开具长期处方进行管理。</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第二十</w:t>
      </w:r>
      <w:r>
        <w:rPr>
          <w:rFonts w:hint="eastAsia" w:ascii="仿宋" w:hAnsi="仿宋" w:eastAsia="仿宋" w:cs="仿宋"/>
          <w:b/>
          <w:color w:val="000000"/>
          <w:sz w:val="32"/>
          <w:szCs w:val="32"/>
          <w:u w:val="none"/>
          <w:lang w:eastAsia="zh-CN"/>
        </w:rPr>
        <w:t>九</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出现以下情况,需要重新评估患者病情,判断是否终止长期处方：</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（一）患者长期用药管理未达预期目标；</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rPr>
        <w:t>（二）</w:t>
      </w:r>
      <w:r>
        <w:rPr>
          <w:rFonts w:hint="eastAsia" w:ascii="仿宋" w:hAnsi="仿宋" w:eastAsia="仿宋" w:cs="仿宋"/>
          <w:color w:val="000000"/>
          <w:sz w:val="32"/>
          <w:szCs w:val="32"/>
          <w:u w:val="none"/>
          <w:lang w:eastAsia="zh-CN"/>
        </w:rPr>
        <w:t>患者使用的多种药物经医师或药师判断有相互作用（药效降低或不良反应加重）的；</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（三）</w:t>
      </w:r>
      <w:r>
        <w:rPr>
          <w:rFonts w:hint="eastAsia" w:ascii="仿宋" w:hAnsi="仿宋" w:eastAsia="仿宋" w:cs="仿宋"/>
          <w:color w:val="000000"/>
          <w:sz w:val="32"/>
          <w:szCs w:val="32"/>
          <w:u w:val="none"/>
        </w:rPr>
        <w:t>罹患其他疾病需其他药物治疗；</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eastAsia="zh-CN"/>
        </w:rPr>
        <w:t>四</w:t>
      </w:r>
      <w:r>
        <w:rPr>
          <w:rFonts w:hint="eastAsia" w:ascii="仿宋" w:hAnsi="仿宋" w:eastAsia="仿宋" w:cs="仿宋"/>
          <w:color w:val="000000"/>
          <w:sz w:val="32"/>
          <w:szCs w:val="32"/>
          <w:u w:val="none"/>
        </w:rPr>
        <w:t>）患者因任何原因住院治疗；</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eastAsia="zh-CN"/>
        </w:rPr>
        <w:t>五</w:t>
      </w:r>
      <w:r>
        <w:rPr>
          <w:rFonts w:hint="eastAsia" w:ascii="仿宋" w:hAnsi="仿宋" w:eastAsia="仿宋" w:cs="仿宋"/>
          <w:color w:val="000000"/>
          <w:sz w:val="32"/>
          <w:szCs w:val="32"/>
          <w:u w:val="none"/>
        </w:rPr>
        <w:t>）其他需要终止长期处方的情况。</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十条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开具长期处方的基层医疗卫生机构与上级医院要做好衔接，通过信息化手段等方式建立患者处方信息共享和流转机制。</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一</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长期处方样式、内容应当符合《处方管理办法》中普通处方管理的要求</w:t>
      </w:r>
      <w:r>
        <w:rPr>
          <w:rFonts w:hint="eastAsia" w:ascii="仿宋" w:hAnsi="仿宋" w:eastAsia="仿宋" w:cs="仿宋"/>
          <w:color w:val="000000"/>
          <w:sz w:val="32"/>
          <w:szCs w:val="32"/>
          <w:u w:val="none"/>
          <w:lang w:eastAsia="zh-CN"/>
        </w:rPr>
        <w:t>，右上角标注“普通处方（长期）”</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二</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lang w:eastAsia="zh-CN"/>
        </w:rPr>
        <w:t>鼓励实施电子病历的医疗机构为长期处方提供书写、保存、查阅等功能，为记录长期处方的电子病历提供患者签字认证功能</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rPr>
      </w:pPr>
    </w:p>
    <w:p>
      <w:pPr>
        <w:widowControl/>
        <w:spacing w:line="600" w:lineRule="atLeast"/>
        <w:jc w:val="center"/>
        <w:rPr>
          <w:rFonts w:ascii="等线" w:hAnsi="等线" w:eastAsia="等线" w:cs="宋体"/>
          <w:color w:val="000000"/>
          <w:kern w:val="0"/>
          <w:szCs w:val="21"/>
          <w:u w:val="none"/>
        </w:rPr>
      </w:pPr>
      <w:r>
        <w:rPr>
          <w:rFonts w:hint="eastAsia" w:ascii="仿宋" w:hAnsi="仿宋" w:eastAsia="仿宋" w:cs="仿宋"/>
          <w:b/>
          <w:color w:val="000000"/>
          <w:kern w:val="2"/>
          <w:sz w:val="32"/>
          <w:szCs w:val="32"/>
          <w:u w:val="none"/>
          <w:lang w:val="en-US" w:eastAsia="zh-CN" w:bidi="ar-SA"/>
        </w:rPr>
        <w:t>第五章</w:t>
      </w:r>
      <w:r>
        <w:rPr>
          <w:rFonts w:hint="default" w:ascii="仿宋" w:hAnsi="仿宋" w:eastAsia="仿宋" w:cs="仿宋"/>
          <w:b/>
          <w:color w:val="000000"/>
          <w:kern w:val="2"/>
          <w:sz w:val="32"/>
          <w:szCs w:val="32"/>
          <w:u w:val="none"/>
          <w:lang w:val="en" w:eastAsia="zh-CN" w:bidi="ar-SA"/>
        </w:rPr>
        <w:t xml:space="preserve">  </w:t>
      </w:r>
      <w:r>
        <w:rPr>
          <w:rFonts w:hint="eastAsia" w:ascii="仿宋" w:hAnsi="仿宋" w:eastAsia="仿宋" w:cs="仿宋"/>
          <w:b/>
          <w:color w:val="000000"/>
          <w:kern w:val="2"/>
          <w:sz w:val="32"/>
          <w:szCs w:val="32"/>
          <w:u w:val="none"/>
          <w:lang w:val="en-US" w:eastAsia="zh-CN" w:bidi="ar-SA"/>
        </w:rPr>
        <w:t>长期处方调剂</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医师开具长期处方后，患者可以自主选择在医疗机构或者社会零售药店进行调剂取药。</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药师对长期处方进行审核，并对患者进行用药指导和用药教育，发放用药教育材料。基层医疗卫生机构不具备条件的，应当由医联体内上级医院的药师通过互联网远程进行处方审核或提供用药指导服务。</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五</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药师在审核长期处方、提供咨询服务、调剂药品工作时，如发现药物治疗相关问题或患者存在用药安全隐患，需要进行长期处方调整、药物重整等干预时，应当立即与医师沟通进行处理。</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六</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lang w:eastAsia="zh-CN"/>
        </w:rPr>
        <w:t>严格落实实名制就医。</w:t>
      </w:r>
      <w:r>
        <w:rPr>
          <w:rFonts w:hint="eastAsia" w:ascii="仿宋" w:hAnsi="仿宋" w:eastAsia="仿宋" w:cs="仿宋"/>
          <w:color w:val="000000"/>
          <w:sz w:val="32"/>
          <w:szCs w:val="32"/>
          <w:u w:val="none"/>
        </w:rPr>
        <w:t>长期处方药品原则上由患者本人领取。特殊情况下，因行动不便等原因，可由熟悉患者基本情况的人员，持本人及患者有效身份证件</w:t>
      </w:r>
      <w:r>
        <w:rPr>
          <w:rFonts w:hint="eastAsia" w:ascii="仿宋" w:hAnsi="仿宋" w:eastAsia="仿宋" w:cs="仿宋"/>
          <w:color w:val="000000"/>
          <w:sz w:val="32"/>
          <w:szCs w:val="32"/>
          <w:u w:val="none"/>
          <w:lang w:eastAsia="zh-CN"/>
        </w:rPr>
        <w:t>或医疗保障凭证</w:t>
      </w:r>
      <w:r>
        <w:rPr>
          <w:rFonts w:hint="eastAsia" w:ascii="仿宋" w:hAnsi="仿宋" w:eastAsia="仿宋" w:cs="仿宋"/>
          <w:color w:val="000000"/>
          <w:sz w:val="32"/>
          <w:szCs w:val="32"/>
          <w:u w:val="none"/>
        </w:rPr>
        <w:t>代为领取，</w:t>
      </w:r>
      <w:r>
        <w:rPr>
          <w:rFonts w:hint="eastAsia" w:ascii="仿宋" w:hAnsi="仿宋" w:eastAsia="仿宋" w:cs="仿宋"/>
          <w:color w:val="000000"/>
          <w:sz w:val="32"/>
          <w:szCs w:val="32"/>
          <w:u w:val="none"/>
          <w:lang w:eastAsia="zh-CN"/>
        </w:rPr>
        <w:t>并</w:t>
      </w:r>
      <w:r>
        <w:rPr>
          <w:rFonts w:hint="eastAsia" w:ascii="仿宋" w:hAnsi="仿宋" w:eastAsia="仿宋" w:cs="仿宋"/>
          <w:color w:val="000000"/>
          <w:sz w:val="32"/>
          <w:szCs w:val="32"/>
          <w:u w:val="none"/>
        </w:rPr>
        <w:t>配合做好相应取药登记记录。</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鼓励通过配送物流延伸等方式，解决患者取药困难问题。互联网医院等</w:t>
      </w:r>
      <w:r>
        <w:rPr>
          <w:rFonts w:hint="eastAsia" w:ascii="仿宋" w:hAnsi="仿宋" w:eastAsia="仿宋" w:cs="仿宋"/>
          <w:color w:val="000000"/>
          <w:sz w:val="32"/>
          <w:szCs w:val="32"/>
          <w:u w:val="none"/>
        </w:rPr>
        <w:t>在线开具的</w:t>
      </w:r>
      <w:r>
        <w:rPr>
          <w:rFonts w:hint="eastAsia" w:ascii="仿宋" w:hAnsi="仿宋" w:eastAsia="仿宋" w:cs="仿宋"/>
          <w:color w:val="000000"/>
          <w:sz w:val="32"/>
          <w:szCs w:val="32"/>
          <w:u w:val="none"/>
          <w:lang w:eastAsia="zh-CN"/>
        </w:rPr>
        <w:t>非首次</w:t>
      </w:r>
      <w:r>
        <w:rPr>
          <w:rFonts w:hint="eastAsia" w:ascii="仿宋" w:hAnsi="仿宋" w:eastAsia="仿宋" w:cs="仿宋"/>
          <w:color w:val="000000"/>
          <w:sz w:val="32"/>
          <w:szCs w:val="32"/>
          <w:u w:val="none"/>
        </w:rPr>
        <w:t>长期处方</w:t>
      </w:r>
      <w:r>
        <w:rPr>
          <w:rFonts w:hint="eastAsia" w:ascii="仿宋" w:hAnsi="仿宋" w:eastAsia="仿宋" w:cs="仿宋"/>
          <w:color w:val="000000"/>
          <w:sz w:val="32"/>
          <w:szCs w:val="32"/>
          <w:u w:val="none"/>
          <w:lang w:eastAsia="zh-CN"/>
        </w:rPr>
        <w:t>应当</w:t>
      </w:r>
      <w:r>
        <w:rPr>
          <w:rFonts w:hint="eastAsia" w:ascii="仿宋" w:hAnsi="仿宋" w:eastAsia="仿宋" w:cs="仿宋"/>
          <w:color w:val="000000"/>
          <w:sz w:val="32"/>
          <w:szCs w:val="32"/>
          <w:u w:val="none"/>
        </w:rPr>
        <w:t>有医师电子签名，经药师审核后，</w:t>
      </w:r>
      <w:r>
        <w:rPr>
          <w:rFonts w:hint="eastAsia" w:ascii="仿宋" w:hAnsi="仿宋" w:eastAsia="仿宋" w:cs="仿宋"/>
          <w:color w:val="000000"/>
          <w:sz w:val="32"/>
          <w:szCs w:val="32"/>
          <w:u w:val="none"/>
          <w:lang w:eastAsia="zh-CN"/>
        </w:rPr>
        <w:t>可由物流</w:t>
      </w:r>
      <w:r>
        <w:rPr>
          <w:rFonts w:hint="eastAsia" w:ascii="仿宋" w:hAnsi="仿宋" w:eastAsia="仿宋" w:cs="仿宋"/>
          <w:color w:val="000000"/>
          <w:sz w:val="32"/>
          <w:szCs w:val="32"/>
          <w:u w:val="none"/>
        </w:rPr>
        <w:t>配送。</w:t>
      </w:r>
    </w:p>
    <w:p>
      <w:pPr>
        <w:widowControl/>
        <w:spacing w:line="600" w:lineRule="atLeast"/>
        <w:ind w:firstLine="640"/>
        <w:rPr>
          <w:rFonts w:ascii="等线" w:hAnsi="等线" w:eastAsia="等线" w:cs="宋体"/>
          <w:color w:val="000000"/>
          <w:kern w:val="0"/>
          <w:szCs w:val="21"/>
          <w:u w:val="none"/>
        </w:rPr>
      </w:pPr>
    </w:p>
    <w:p>
      <w:pPr>
        <w:widowControl/>
        <w:spacing w:line="600" w:lineRule="atLeast"/>
        <w:jc w:val="center"/>
        <w:rPr>
          <w:rFonts w:hint="eastAsia" w:ascii="仿宋" w:hAnsi="仿宋" w:eastAsia="仿宋" w:cs="仿宋"/>
          <w:b/>
          <w:color w:val="000000"/>
          <w:kern w:val="2"/>
          <w:sz w:val="32"/>
          <w:szCs w:val="32"/>
          <w:u w:val="none"/>
          <w:lang w:val="en-US" w:eastAsia="zh-CN" w:bidi="ar-SA"/>
        </w:rPr>
      </w:pPr>
      <w:r>
        <w:rPr>
          <w:rFonts w:hint="eastAsia" w:ascii="仿宋" w:hAnsi="仿宋" w:eastAsia="仿宋" w:cs="仿宋"/>
          <w:b/>
          <w:color w:val="000000"/>
          <w:kern w:val="2"/>
          <w:sz w:val="32"/>
          <w:szCs w:val="32"/>
          <w:u w:val="none"/>
          <w:lang w:val="en-US" w:eastAsia="zh-CN" w:bidi="ar-SA"/>
        </w:rPr>
        <w:t>第六章</w:t>
      </w:r>
      <w:r>
        <w:rPr>
          <w:rFonts w:hint="default" w:ascii="仿宋" w:hAnsi="仿宋" w:eastAsia="仿宋" w:cs="仿宋"/>
          <w:b/>
          <w:color w:val="000000"/>
          <w:kern w:val="2"/>
          <w:sz w:val="32"/>
          <w:szCs w:val="32"/>
          <w:u w:val="none"/>
          <w:lang w:val="en" w:eastAsia="zh-CN" w:bidi="ar-SA"/>
        </w:rPr>
        <w:t xml:space="preserve">  </w:t>
      </w:r>
      <w:r>
        <w:rPr>
          <w:rFonts w:hint="eastAsia" w:ascii="仿宋" w:hAnsi="仿宋" w:eastAsia="仿宋" w:cs="仿宋"/>
          <w:b/>
          <w:color w:val="000000"/>
          <w:kern w:val="2"/>
          <w:sz w:val="32"/>
          <w:szCs w:val="32"/>
          <w:u w:val="none"/>
          <w:lang w:val="en-US" w:eastAsia="zh-CN" w:bidi="ar-SA"/>
        </w:rPr>
        <w:t>长期处方用药管理</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第三十</w:t>
      </w:r>
      <w:r>
        <w:rPr>
          <w:rFonts w:hint="eastAsia" w:ascii="仿宋" w:hAnsi="仿宋" w:eastAsia="仿宋" w:cs="仿宋"/>
          <w:b/>
          <w:color w:val="000000"/>
          <w:sz w:val="32"/>
          <w:szCs w:val="32"/>
          <w:u w:val="none"/>
          <w:lang w:eastAsia="zh-CN"/>
        </w:rPr>
        <w:t>七</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各级卫生健康行政部门、医疗机构应当对长期处方开展合理性考核评价</w:t>
      </w:r>
      <w:r>
        <w:rPr>
          <w:rFonts w:hint="eastAsia" w:ascii="仿宋" w:hAnsi="仿宋" w:eastAsia="仿宋" w:cs="仿宋"/>
          <w:color w:val="000000"/>
          <w:sz w:val="32"/>
          <w:szCs w:val="32"/>
          <w:u w:val="none"/>
          <w:lang w:eastAsia="zh-CN"/>
        </w:rPr>
        <w:t>工作</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eastAsia="zh-CN"/>
        </w:rPr>
        <w:t>将长期处方纳入专项点评，</w:t>
      </w:r>
      <w:r>
        <w:rPr>
          <w:rFonts w:hint="eastAsia" w:ascii="仿宋" w:hAnsi="仿宋" w:eastAsia="仿宋" w:cs="仿宋"/>
          <w:color w:val="000000"/>
          <w:sz w:val="32"/>
          <w:szCs w:val="32"/>
          <w:u w:val="none"/>
        </w:rPr>
        <w:t>持续提高长期处方合理用药水平。</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各级卫生健康行政部门要加强本辖区内医疗机构长期处方使用情况监管，每半年将监管情况报上级卫生健康行政部门。</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第三十</w:t>
      </w:r>
      <w:r>
        <w:rPr>
          <w:rFonts w:hint="eastAsia" w:ascii="仿宋" w:hAnsi="仿宋" w:eastAsia="仿宋" w:cs="仿宋"/>
          <w:b/>
          <w:color w:val="000000"/>
          <w:sz w:val="32"/>
          <w:szCs w:val="32"/>
          <w:u w:val="none"/>
          <w:lang w:eastAsia="zh-CN"/>
        </w:rPr>
        <w:t>八</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基层医疗卫生机构应当将本机构开具的长期处方信息纳入患者健康档案，详细记录患者诊疗和用药记录。家庭医生团队应当对患者进行定期随访管理，对患者病情变化、用药依从性和药物不良反应等进行评估，必要时及时调整或终止长期处方，并在患者健康档案及病历中注明。</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第三十</w:t>
      </w:r>
      <w:r>
        <w:rPr>
          <w:rFonts w:hint="eastAsia" w:ascii="仿宋" w:hAnsi="仿宋" w:eastAsia="仿宋" w:cs="仿宋"/>
          <w:b/>
          <w:color w:val="000000"/>
          <w:sz w:val="32"/>
          <w:szCs w:val="32"/>
          <w:u w:val="none"/>
          <w:lang w:eastAsia="zh-CN"/>
        </w:rPr>
        <w:t>九</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医疗机构应当建立安全用药监测与报告制度。发生药品严重不良事件后，应当积极救治患者，立即向医务和药学部门报告，做好观察与记录。按照有关规定向有关部门报告药品不良反应等信息。</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十条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医疗机构应当加强对使用长期处方患者的用药教育，增加其合理用药知识，提高自我用药管理能力和用药依从性，并告知患者在用药过程中出现任何不适，应当及时就诊。</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一</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疗机构应当指导使用长期处方患者对药物治疗效果指标进行自我监测并作好记录。鼓励使用医疗器械类穿戴设备，提高药物治疗效果指标监测的信息化水平。在保障数据和隐私安全的前提下，可以探索通过接入互联网的远程监测设备开展监测。</w:t>
      </w:r>
    </w:p>
    <w:p>
      <w:pPr>
        <w:widowControl/>
        <w:spacing w:line="600" w:lineRule="atLeast"/>
        <w:ind w:firstLine="640"/>
        <w:rPr>
          <w:rFonts w:hint="eastAsia" w:ascii="仿宋" w:hAnsi="仿宋" w:eastAsia="仿宋" w:cs="仿宋"/>
          <w:color w:val="000000"/>
          <w:sz w:val="32"/>
          <w:szCs w:val="32"/>
          <w:u w:val="none"/>
          <w:lang w:val="en-US"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二</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医疗机构应当指导使用长期处方患者，按照要求保存药品，确保药品质量。</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三</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医疗机构应当将长期处方患者的诊疗，纳入医疗管理统筹安排，严格落实有关疾病诊疗规范要求，加强质量控制和管理，保障医疗质量和医疗安全。</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鼓励有条件的地区</w:t>
      </w:r>
      <w:r>
        <w:rPr>
          <w:rFonts w:hint="eastAsia" w:ascii="仿宋" w:hAnsi="仿宋" w:eastAsia="仿宋" w:cs="仿宋"/>
          <w:color w:val="000000"/>
          <w:sz w:val="32"/>
          <w:szCs w:val="32"/>
          <w:u w:val="none"/>
          <w:lang w:eastAsia="zh-CN"/>
        </w:rPr>
        <w:t>或机构</w:t>
      </w:r>
      <w:r>
        <w:rPr>
          <w:rFonts w:hint="eastAsia" w:ascii="仿宋" w:hAnsi="仿宋" w:eastAsia="仿宋" w:cs="仿宋"/>
          <w:color w:val="000000"/>
          <w:sz w:val="32"/>
          <w:szCs w:val="32"/>
          <w:u w:val="none"/>
        </w:rPr>
        <w:t>通过开设微信公众号、患者客户端等互联网交互方式或途径，方便患者查询长期处方信息、药品用法用量、注意事项等。探索开展长期处方患者的用药提醒、随访、用药咨询等服务。</w:t>
      </w:r>
    </w:p>
    <w:p>
      <w:pPr>
        <w:widowControl/>
        <w:spacing w:line="600" w:lineRule="atLeast"/>
        <w:jc w:val="center"/>
        <w:rPr>
          <w:rFonts w:hint="eastAsia" w:ascii="黑体" w:hAnsi="黑体" w:eastAsia="黑体" w:cs="宋体"/>
          <w:color w:val="000000"/>
          <w:kern w:val="0"/>
          <w:sz w:val="32"/>
          <w:szCs w:val="32"/>
          <w:u w:val="none"/>
        </w:rPr>
      </w:pPr>
    </w:p>
    <w:p>
      <w:pPr>
        <w:widowControl/>
        <w:spacing w:line="600" w:lineRule="atLeast"/>
        <w:jc w:val="center"/>
        <w:rPr>
          <w:rFonts w:hint="eastAsia" w:ascii="仿宋" w:hAnsi="仿宋" w:eastAsia="仿宋" w:cs="仿宋"/>
          <w:b/>
          <w:color w:val="000000"/>
          <w:kern w:val="2"/>
          <w:sz w:val="32"/>
          <w:szCs w:val="32"/>
          <w:u w:val="none"/>
          <w:lang w:val="en-US" w:eastAsia="zh-CN" w:bidi="ar-SA"/>
        </w:rPr>
      </w:pPr>
      <w:r>
        <w:rPr>
          <w:rFonts w:hint="eastAsia" w:ascii="仿宋" w:hAnsi="仿宋" w:eastAsia="仿宋" w:cs="仿宋"/>
          <w:b/>
          <w:color w:val="000000"/>
          <w:kern w:val="2"/>
          <w:sz w:val="32"/>
          <w:szCs w:val="32"/>
          <w:u w:val="none"/>
          <w:lang w:val="en-US" w:eastAsia="zh-CN" w:bidi="ar-SA"/>
        </w:rPr>
        <w:t>第七章</w:t>
      </w:r>
      <w:r>
        <w:rPr>
          <w:rFonts w:hint="default" w:ascii="仿宋" w:hAnsi="仿宋" w:eastAsia="仿宋" w:cs="仿宋"/>
          <w:b/>
          <w:color w:val="000000"/>
          <w:kern w:val="2"/>
          <w:sz w:val="32"/>
          <w:szCs w:val="32"/>
          <w:u w:val="none"/>
          <w:lang w:val="en" w:eastAsia="zh-CN" w:bidi="ar-SA"/>
        </w:rPr>
        <w:t xml:space="preserve">  </w:t>
      </w:r>
      <w:r>
        <w:rPr>
          <w:rFonts w:hint="eastAsia" w:ascii="仿宋" w:hAnsi="仿宋" w:eastAsia="仿宋" w:cs="仿宋"/>
          <w:b/>
          <w:color w:val="000000"/>
          <w:kern w:val="2"/>
          <w:sz w:val="32"/>
          <w:szCs w:val="32"/>
          <w:u w:val="none"/>
          <w:lang w:val="en-US" w:eastAsia="zh-CN" w:bidi="ar-SA"/>
        </w:rPr>
        <w:t>长期处方医保支付</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五</w:t>
      </w:r>
      <w:r>
        <w:rPr>
          <w:rFonts w:hint="eastAsia" w:ascii="仿宋" w:hAnsi="仿宋" w:eastAsia="仿宋" w:cs="仿宋"/>
          <w:b/>
          <w:color w:val="000000"/>
          <w:sz w:val="32"/>
          <w:szCs w:val="32"/>
          <w:u w:val="none"/>
        </w:rPr>
        <w:t>条</w:t>
      </w:r>
      <w:r>
        <w:rPr>
          <w:rFonts w:hint="default" w:ascii="仿宋" w:hAnsi="仿宋" w:eastAsia="仿宋" w:cs="仿宋"/>
          <w:color w:val="000000"/>
          <w:sz w:val="32"/>
          <w:szCs w:val="32"/>
          <w:u w:val="none"/>
          <w:lang w:val="en"/>
        </w:rPr>
        <w:t xml:space="preserve"> </w:t>
      </w:r>
      <w:r>
        <w:rPr>
          <w:rFonts w:hint="eastAsia" w:ascii="仿宋" w:hAnsi="仿宋" w:eastAsia="仿宋" w:cs="仿宋"/>
          <w:color w:val="000000"/>
          <w:sz w:val="32"/>
          <w:szCs w:val="32"/>
          <w:u w:val="none"/>
          <w:lang w:eastAsia="zh-CN"/>
        </w:rPr>
        <w:t>各统筹区</w:t>
      </w:r>
      <w:r>
        <w:rPr>
          <w:rFonts w:hint="eastAsia" w:ascii="仿宋" w:hAnsi="仿宋" w:eastAsia="仿宋" w:cs="仿宋"/>
          <w:color w:val="000000"/>
          <w:sz w:val="32"/>
          <w:szCs w:val="32"/>
          <w:u w:val="none"/>
        </w:rPr>
        <w:t>医保部门支付长期处方开具的符合规定的药品费用，不对单张处方的数量、金额等作限制，参保人按规定享受待遇。</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四</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六</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lang w:eastAsia="zh-CN"/>
        </w:rPr>
        <w:t>各统筹区</w:t>
      </w:r>
      <w:r>
        <w:rPr>
          <w:rFonts w:hint="eastAsia" w:ascii="仿宋" w:hAnsi="仿宋" w:eastAsia="仿宋" w:cs="仿宋"/>
          <w:color w:val="000000"/>
          <w:sz w:val="32"/>
          <w:szCs w:val="32"/>
          <w:u w:val="none"/>
        </w:rPr>
        <w:t>在制定区域总额预算管理时，应当充分考虑长期处方因素。</w:t>
      </w:r>
    </w:p>
    <w:p>
      <w:pPr>
        <w:widowControl/>
        <w:spacing w:line="600" w:lineRule="atLeast"/>
        <w:ind w:firstLine="640"/>
        <w:rPr>
          <w:rFonts w:hint="eastAsia" w:ascii="仿宋" w:hAnsi="仿宋" w:eastAsia="仿宋" w:cs="仿宋"/>
          <w:color w:val="000000"/>
          <w:sz w:val="32"/>
          <w:szCs w:val="32"/>
          <w:u w:val="none"/>
        </w:rPr>
      </w:pPr>
      <w:r>
        <w:rPr>
          <w:rFonts w:hint="eastAsia" w:ascii="仿宋" w:hAnsi="仿宋" w:eastAsia="仿宋" w:cs="仿宋"/>
          <w:b/>
          <w:color w:val="000000"/>
          <w:sz w:val="32"/>
          <w:szCs w:val="32"/>
          <w:u w:val="none"/>
        </w:rPr>
        <w:t>第四十</w:t>
      </w:r>
      <w:r>
        <w:rPr>
          <w:rFonts w:hint="eastAsia" w:ascii="仿宋" w:hAnsi="仿宋" w:eastAsia="仿宋" w:cs="仿宋"/>
          <w:b/>
          <w:color w:val="000000"/>
          <w:sz w:val="32"/>
          <w:szCs w:val="32"/>
          <w:u w:val="none"/>
          <w:lang w:eastAsia="zh-CN"/>
        </w:rPr>
        <w:t>七</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各地医保部门应当提高经办服务能力，方便各医保定点医疗机构、医保定点零售药店刷卡结算，为参保人提供长期处方医保报销咨询服务。加强智能监控、智能审核，确保药品合理使用。</w:t>
      </w:r>
    </w:p>
    <w:p>
      <w:pPr>
        <w:widowControl/>
        <w:spacing w:line="600" w:lineRule="atLeast"/>
        <w:ind w:firstLine="640"/>
        <w:rPr>
          <w:rFonts w:hint="eastAsia" w:ascii="仿宋" w:hAnsi="仿宋" w:eastAsia="仿宋" w:cs="仿宋"/>
          <w:color w:val="000000"/>
          <w:sz w:val="32"/>
          <w:szCs w:val="32"/>
          <w:u w:val="none"/>
          <w:lang w:eastAsia="zh-CN"/>
        </w:rPr>
      </w:pPr>
    </w:p>
    <w:p>
      <w:pPr>
        <w:widowControl/>
        <w:spacing w:line="600" w:lineRule="atLeast"/>
        <w:jc w:val="center"/>
        <w:rPr>
          <w:rFonts w:hint="eastAsia" w:ascii="仿宋" w:hAnsi="仿宋" w:eastAsia="仿宋" w:cs="仿宋"/>
          <w:b/>
          <w:color w:val="000000"/>
          <w:kern w:val="2"/>
          <w:sz w:val="32"/>
          <w:szCs w:val="32"/>
          <w:u w:val="none"/>
          <w:lang w:val="en-US" w:eastAsia="zh-CN" w:bidi="ar-SA"/>
        </w:rPr>
      </w:pPr>
      <w:r>
        <w:rPr>
          <w:rFonts w:hint="eastAsia" w:ascii="仿宋" w:hAnsi="仿宋" w:eastAsia="仿宋" w:cs="仿宋"/>
          <w:b/>
          <w:color w:val="000000"/>
          <w:kern w:val="2"/>
          <w:sz w:val="32"/>
          <w:szCs w:val="32"/>
          <w:u w:val="none"/>
          <w:lang w:val="en-US" w:eastAsia="zh-CN" w:bidi="ar-SA"/>
        </w:rPr>
        <w:t>第八章</w:t>
      </w:r>
      <w:r>
        <w:rPr>
          <w:rFonts w:hint="default" w:ascii="仿宋" w:hAnsi="仿宋" w:eastAsia="仿宋" w:cs="仿宋"/>
          <w:b/>
          <w:color w:val="000000"/>
          <w:kern w:val="2"/>
          <w:sz w:val="32"/>
          <w:szCs w:val="32"/>
          <w:u w:val="none"/>
          <w:lang w:val="en" w:eastAsia="zh-CN" w:bidi="ar-SA"/>
        </w:rPr>
        <w:t xml:space="preserve"> </w:t>
      </w:r>
      <w:r>
        <w:rPr>
          <w:rFonts w:hint="eastAsia" w:ascii="仿宋" w:hAnsi="仿宋" w:eastAsia="仿宋" w:cs="仿宋"/>
          <w:b/>
          <w:color w:val="000000"/>
          <w:kern w:val="2"/>
          <w:sz w:val="32"/>
          <w:szCs w:val="32"/>
          <w:u w:val="none"/>
          <w:lang w:val="en-US" w:eastAsia="zh-CN" w:bidi="ar-SA"/>
        </w:rPr>
        <w:t xml:space="preserve"> 附则</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第四十</w:t>
      </w:r>
      <w:r>
        <w:rPr>
          <w:rFonts w:hint="eastAsia" w:ascii="仿宋" w:hAnsi="仿宋" w:eastAsia="仿宋" w:cs="仿宋"/>
          <w:b/>
          <w:color w:val="000000"/>
          <w:sz w:val="32"/>
          <w:szCs w:val="32"/>
          <w:u w:val="none"/>
          <w:lang w:eastAsia="zh-CN"/>
        </w:rPr>
        <w:t>八</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lang w:eastAsia="zh-CN"/>
        </w:rPr>
        <w:t>设区市、县级卫生健康行政部门可会同医疗保障部门制定辖区内长期处方管理具体办法后实施</w:t>
      </w:r>
      <w:r>
        <w:rPr>
          <w:rFonts w:hint="eastAsia" w:ascii="仿宋" w:hAnsi="仿宋" w:eastAsia="仿宋" w:cs="仿宋"/>
          <w:color w:val="000000"/>
          <w:sz w:val="32"/>
          <w:szCs w:val="32"/>
          <w:u w:val="none"/>
        </w:rPr>
        <w:t>。</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第四十</w:t>
      </w:r>
      <w:r>
        <w:rPr>
          <w:rFonts w:hint="eastAsia" w:ascii="仿宋" w:hAnsi="仿宋" w:eastAsia="仿宋" w:cs="仿宋"/>
          <w:b/>
          <w:color w:val="000000"/>
          <w:sz w:val="32"/>
          <w:szCs w:val="32"/>
          <w:u w:val="none"/>
          <w:lang w:eastAsia="zh-CN"/>
        </w:rPr>
        <w:t>九</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互联网医院提供长期处方服务，应当结合其依托的实体医疗机构具备的条件，符合医疗机构药事管理、互联网诊疗管理相关规定和本</w:t>
      </w:r>
      <w:r>
        <w:rPr>
          <w:rFonts w:hint="eastAsia" w:ascii="仿宋" w:hAnsi="仿宋" w:eastAsia="仿宋" w:cs="仿宋"/>
          <w:color w:val="000000"/>
          <w:sz w:val="32"/>
          <w:szCs w:val="32"/>
          <w:u w:val="none"/>
          <w:lang w:eastAsia="zh-CN"/>
        </w:rPr>
        <w:t>实施细则</w:t>
      </w:r>
      <w:r>
        <w:rPr>
          <w:rFonts w:hint="eastAsia" w:ascii="仿宋" w:hAnsi="仿宋" w:eastAsia="仿宋" w:cs="仿宋"/>
          <w:color w:val="000000"/>
          <w:sz w:val="32"/>
          <w:szCs w:val="32"/>
          <w:u w:val="none"/>
        </w:rPr>
        <w:t>，加强医疗质量和安全监管。</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五</w:t>
      </w:r>
      <w:r>
        <w:rPr>
          <w:rFonts w:hint="eastAsia" w:ascii="仿宋" w:hAnsi="仿宋" w:eastAsia="仿宋" w:cs="仿宋"/>
          <w:b/>
          <w:color w:val="000000"/>
          <w:sz w:val="32"/>
          <w:szCs w:val="32"/>
          <w:u w:val="none"/>
        </w:rPr>
        <w:t>十条</w:t>
      </w:r>
      <w:r>
        <w:rPr>
          <w:rFonts w:hint="default" w:ascii="仿宋" w:hAnsi="仿宋" w:eastAsia="仿宋" w:cs="仿宋"/>
          <w:color w:val="000000"/>
          <w:sz w:val="32"/>
          <w:szCs w:val="32"/>
          <w:u w:val="none"/>
          <w:lang w:val="en"/>
        </w:rPr>
        <w:t xml:space="preserve"> </w:t>
      </w:r>
      <w:r>
        <w:rPr>
          <w:rFonts w:hint="eastAsia" w:ascii="仿宋" w:hAnsi="仿宋" w:eastAsia="仿宋" w:cs="仿宋"/>
          <w:color w:val="000000"/>
          <w:sz w:val="32"/>
          <w:szCs w:val="32"/>
          <w:u w:val="none"/>
        </w:rPr>
        <w:t>基层医疗卫生机构，是指乡镇卫生院、社区卫生服务中心（站）、村卫生室、医务室、门诊部和诊所等。</w:t>
      </w:r>
    </w:p>
    <w:p>
      <w:pPr>
        <w:widowControl/>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b/>
          <w:color w:val="000000"/>
          <w:sz w:val="32"/>
          <w:szCs w:val="32"/>
          <w:u w:val="none"/>
        </w:rPr>
        <w:t>第</w:t>
      </w:r>
      <w:r>
        <w:rPr>
          <w:rFonts w:hint="eastAsia" w:ascii="仿宋" w:hAnsi="仿宋" w:eastAsia="仿宋" w:cs="仿宋"/>
          <w:b/>
          <w:color w:val="000000"/>
          <w:sz w:val="32"/>
          <w:szCs w:val="32"/>
          <w:u w:val="none"/>
          <w:lang w:eastAsia="zh-CN"/>
        </w:rPr>
        <w:t>五</w:t>
      </w:r>
      <w:r>
        <w:rPr>
          <w:rFonts w:hint="eastAsia" w:ascii="仿宋" w:hAnsi="仿宋" w:eastAsia="仿宋" w:cs="仿宋"/>
          <w:b/>
          <w:color w:val="000000"/>
          <w:sz w:val="32"/>
          <w:szCs w:val="32"/>
          <w:u w:val="none"/>
        </w:rPr>
        <w:t>十</w:t>
      </w:r>
      <w:r>
        <w:rPr>
          <w:rFonts w:hint="eastAsia" w:ascii="仿宋" w:hAnsi="仿宋" w:eastAsia="仿宋" w:cs="仿宋"/>
          <w:b/>
          <w:color w:val="000000"/>
          <w:sz w:val="32"/>
          <w:szCs w:val="32"/>
          <w:u w:val="none"/>
          <w:lang w:eastAsia="zh-CN"/>
        </w:rPr>
        <w:t>一</w:t>
      </w:r>
      <w:r>
        <w:rPr>
          <w:rFonts w:hint="eastAsia" w:ascii="仿宋" w:hAnsi="仿宋" w:eastAsia="仿宋" w:cs="仿宋"/>
          <w:b/>
          <w:color w:val="000000"/>
          <w:sz w:val="32"/>
          <w:szCs w:val="32"/>
          <w:u w:val="none"/>
        </w:rPr>
        <w:t>条</w:t>
      </w:r>
      <w:r>
        <w:rPr>
          <w:rFonts w:hint="default" w:ascii="仿宋" w:hAnsi="仿宋" w:eastAsia="仿宋" w:cs="仿宋"/>
          <w:b/>
          <w:color w:val="000000"/>
          <w:sz w:val="32"/>
          <w:szCs w:val="32"/>
          <w:u w:val="none"/>
          <w:lang w:val="en"/>
        </w:rPr>
        <w:t xml:space="preserve"> </w:t>
      </w:r>
      <w:r>
        <w:rPr>
          <w:rFonts w:hint="eastAsia" w:ascii="仿宋" w:hAnsi="仿宋" w:eastAsia="仿宋" w:cs="仿宋"/>
          <w:color w:val="000000"/>
          <w:sz w:val="32"/>
          <w:szCs w:val="32"/>
          <w:u w:val="none"/>
        </w:rPr>
        <w:t>本实施细则自印发之日起施行。</w:t>
      </w:r>
    </w:p>
    <w:p>
      <w:pPr>
        <w:pStyle w:val="4"/>
        <w:spacing w:line="600" w:lineRule="exact"/>
        <w:rPr>
          <w:u w:val="none"/>
        </w:rPr>
      </w:pPr>
    </w:p>
    <w:p>
      <w:pPr>
        <w:widowControl/>
        <w:tabs>
          <w:tab w:val="left" w:pos="564"/>
        </w:tabs>
        <w:spacing w:line="600" w:lineRule="atLeast"/>
        <w:ind w:firstLine="64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附件：</w:t>
      </w:r>
      <w:r>
        <w:rPr>
          <w:rFonts w:hint="eastAsia" w:ascii="仿宋" w:hAnsi="仿宋" w:eastAsia="仿宋" w:cs="仿宋"/>
          <w:color w:val="000000"/>
          <w:sz w:val="32"/>
          <w:szCs w:val="32"/>
          <w:u w:val="none"/>
        </w:rPr>
        <w:t>江西省长期处方适用疾病病种</w:t>
      </w:r>
      <w:r>
        <w:rPr>
          <w:rFonts w:hint="eastAsia" w:ascii="仿宋" w:hAnsi="仿宋" w:eastAsia="仿宋" w:cs="仿宋"/>
          <w:color w:val="000000"/>
          <w:sz w:val="32"/>
          <w:szCs w:val="32"/>
          <w:u w:val="none"/>
          <w:lang w:eastAsia="zh-CN"/>
        </w:rPr>
        <w:t>目录（</w:t>
      </w:r>
      <w:r>
        <w:rPr>
          <w:rFonts w:hint="eastAsia" w:ascii="仿宋" w:hAnsi="仿宋" w:eastAsia="仿宋" w:cs="仿宋"/>
          <w:color w:val="000000"/>
          <w:sz w:val="32"/>
          <w:szCs w:val="32"/>
          <w:u w:val="none"/>
          <w:lang w:val="en-US" w:eastAsia="zh-CN"/>
        </w:rPr>
        <w:t>2022年版</w:t>
      </w:r>
      <w:r>
        <w:rPr>
          <w:rFonts w:hint="eastAsia" w:ascii="仿宋" w:hAnsi="仿宋" w:eastAsia="仿宋" w:cs="仿宋"/>
          <w:color w:val="000000"/>
          <w:sz w:val="32"/>
          <w:szCs w:val="32"/>
          <w:u w:val="none"/>
          <w:lang w:eastAsia="zh-CN"/>
        </w:rPr>
        <w:t>）</w:t>
      </w:r>
    </w:p>
    <w:p>
      <w:pPr>
        <w:rPr>
          <w:rFonts w:hint="eastAsia" w:ascii="黑体" w:hAnsi="黑体" w:eastAsia="黑体"/>
          <w:sz w:val="32"/>
          <w:szCs w:val="32"/>
        </w:rPr>
      </w:pPr>
      <w:r>
        <w:br w:type="page"/>
      </w:r>
      <w:r>
        <w:rPr>
          <w:rFonts w:hint="eastAsia" w:ascii="黑体" w:hAnsi="黑体" w:eastAsia="黑体"/>
          <w:sz w:val="32"/>
          <w:szCs w:val="32"/>
        </w:rPr>
        <w:t>附件</w:t>
      </w:r>
    </w:p>
    <w:p>
      <w:pPr>
        <w:pStyle w:val="4"/>
        <w:spacing w:line="600" w:lineRule="exact"/>
        <w:rPr>
          <w:rFonts w:hint="eastAsia" w:ascii="方正小标宋简体" w:hAnsi="黑体" w:eastAsia="方正小标宋简体"/>
          <w:sz w:val="44"/>
          <w:szCs w:val="44"/>
        </w:rPr>
      </w:pPr>
    </w:p>
    <w:p>
      <w:pPr>
        <w:pStyle w:val="4"/>
        <w:spacing w:line="600" w:lineRule="exact"/>
        <w:jc w:val="center"/>
        <w:rPr>
          <w:rFonts w:hint="eastAsia" w:ascii="方正小标宋简体" w:hAnsi="黑体" w:eastAsia="方正小标宋简体"/>
          <w:bCs/>
          <w:sz w:val="44"/>
          <w:szCs w:val="44"/>
          <w:lang w:eastAsia="zh-CN"/>
        </w:rPr>
      </w:pPr>
      <w:r>
        <w:rPr>
          <w:rFonts w:hint="eastAsia" w:ascii="方正小标宋简体" w:hAnsi="黑体" w:eastAsia="方正小标宋简体"/>
          <w:sz w:val="44"/>
          <w:szCs w:val="44"/>
        </w:rPr>
        <w:t>江西省</w:t>
      </w:r>
      <w:r>
        <w:rPr>
          <w:rFonts w:hint="eastAsia" w:ascii="方正小标宋简体" w:hAnsi="黑体" w:eastAsia="方正小标宋简体"/>
          <w:bCs/>
          <w:sz w:val="44"/>
          <w:szCs w:val="44"/>
        </w:rPr>
        <w:t>长期处方适用疾病病种</w:t>
      </w:r>
      <w:r>
        <w:rPr>
          <w:rFonts w:hint="eastAsia" w:ascii="方正小标宋简体" w:hAnsi="黑体" w:eastAsia="方正小标宋简体"/>
          <w:bCs/>
          <w:sz w:val="44"/>
          <w:szCs w:val="44"/>
          <w:lang w:eastAsia="zh-CN"/>
        </w:rPr>
        <w:t>目录</w:t>
      </w:r>
    </w:p>
    <w:p>
      <w:pPr>
        <w:pStyle w:val="4"/>
        <w:spacing w:line="600" w:lineRule="exact"/>
        <w:jc w:val="center"/>
        <w:rPr>
          <w:rFonts w:hint="default" w:ascii="方正小标宋简体" w:hAnsi="黑体" w:eastAsia="方正小标宋简体"/>
          <w:sz w:val="44"/>
          <w:szCs w:val="44"/>
          <w:lang w:val="en-US" w:eastAsia="zh-CN"/>
        </w:rPr>
      </w:pPr>
      <w:r>
        <w:rPr>
          <w:rFonts w:hint="eastAsia" w:ascii="方正小标宋简体" w:hAnsi="黑体" w:eastAsia="方正小标宋简体"/>
          <w:bCs/>
          <w:sz w:val="44"/>
          <w:szCs w:val="44"/>
          <w:lang w:eastAsia="zh-CN"/>
        </w:rPr>
        <w:t>（</w:t>
      </w:r>
      <w:r>
        <w:rPr>
          <w:rFonts w:hint="eastAsia" w:ascii="方正小标宋简体" w:hAnsi="黑体" w:eastAsia="方正小标宋简体"/>
          <w:bCs/>
          <w:sz w:val="44"/>
          <w:szCs w:val="44"/>
          <w:lang w:val="en-US" w:eastAsia="zh-CN"/>
        </w:rPr>
        <w:t>2022年版</w:t>
      </w:r>
      <w:r>
        <w:rPr>
          <w:rFonts w:hint="eastAsia" w:ascii="方正小标宋简体" w:hAnsi="黑体" w:eastAsia="方正小标宋简体"/>
          <w:bCs/>
          <w:sz w:val="44"/>
          <w:szCs w:val="44"/>
          <w:lang w:eastAsia="zh-CN"/>
        </w:rPr>
        <w:t>）</w:t>
      </w:r>
    </w:p>
    <w:tbl>
      <w:tblPr>
        <w:tblStyle w:val="2"/>
        <w:tblW w:w="5415" w:type="pct"/>
        <w:jc w:val="center"/>
        <w:tblLayout w:type="fixed"/>
        <w:tblCellMar>
          <w:top w:w="0" w:type="dxa"/>
          <w:left w:w="108" w:type="dxa"/>
          <w:bottom w:w="0" w:type="dxa"/>
          <w:right w:w="108" w:type="dxa"/>
        </w:tblCellMar>
      </w:tblPr>
      <w:tblGrid>
        <w:gridCol w:w="992"/>
        <w:gridCol w:w="833"/>
        <w:gridCol w:w="7866"/>
      </w:tblGrid>
      <w:tr>
        <w:tblPrEx>
          <w:tblCellMar>
            <w:top w:w="0" w:type="dxa"/>
            <w:left w:w="108" w:type="dxa"/>
            <w:bottom w:w="0" w:type="dxa"/>
            <w:right w:w="108" w:type="dxa"/>
          </w:tblCellMar>
        </w:tblPrEx>
        <w:trPr>
          <w:trHeight w:val="495" w:hRule="atLeast"/>
          <w:tblHeader/>
          <w:jc w:val="center"/>
        </w:trPr>
        <w:tc>
          <w:tcPr>
            <w:tcW w:w="51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编号</w:t>
            </w:r>
          </w:p>
        </w:tc>
        <w:tc>
          <w:tcPr>
            <w:tcW w:w="429"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系统</w:t>
            </w:r>
          </w:p>
        </w:tc>
        <w:tc>
          <w:tcPr>
            <w:tcW w:w="4058"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病种</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呼吸系统</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尘肺（未特指，含矽肺）、肺部非结核分枝杆菌病、肺结核、慢性支气管炎、慢性支气哮喘、慢性阻塞性肺病</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肺间质纤维化（含间质性肺病、间质性肺炎、结缔组织病肺间质纤维化）、肺隐球菌病、慢性呼吸衰竭（含I型呼吸衰竭、呼吸衰竭）、侵袭性肺曲霉菌病、支气管扩张</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循环系统</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风湿性心脏病、高血压、冠状动脉粥样硬化性心脏病（含冠脉支架植入术、介入术、搭桥术后等）、慢性房颤、慢性肺源性心脏病、慢性心功能衰竭、慢性心律失常、心肌病、心肌炎</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动脉粥样硬化、肺动脉高压、高脂血症、脉管炎、慢性感染性心内膜炎、慢性心包炎、先天性心脏病、心脏瓣膜病、血管支架术后抗凝治疗、周围血管疾病</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消化系统</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肝硬化、肝硬化腹水、克罗恩氏病、慢性肝炎（含乙肝、丙肝等）、消化性溃疡（含慢性消化性溃疡）、血吸虫病</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肠结核、肝豆状核变性、功能性消化不良、溃疡性结肠炎、慢性肠炎、慢性胆囊炎、慢性腹泻、慢性肝损害（慢性肝功能不全）、慢性胃炎、慢性胰腺炎、胃食管反流病、原发性胆汁性肝硬化、原发性硬化性胆管炎、卓艾综合征、自身免疫性肝炎、自身免疫性胰腺炎</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泌尿系统</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慢性肾病、慢性肾功能衰竭（含尿毒症期）、慢性肾小球肾炎、肾病综合征、血液透析、紫癜性肾炎</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ANCA相关性肾炎、IgA肾病、腹膜透析、高血压肾损害、狼疮性肾炎、慢性盆腔炎及附件炎、慢性肾盂肾炎、泌尿系慢性炎症、前列腺增生、糖尿病肾病、乙肝相关性肾炎</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血液系统</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变应性亚败血症、地中海贫血（含输血）、骨髓增生异常综合征、血友病、原发性慢性血小板减少性紫癜、再生障碍性贫血</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多发性骨髓瘤、恶性贫血、骨髓纤维化、化疗后骨髓抑制、慢性粒细胞白血病、慢性淋巴瘤、慢性淋巴细胞白血病、慢性贫血、慢性髓系白血病、特发性紫癜、移植物抗宿主病、原发性血小板增多症、真性红细胞增多症</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内分泌和代谢性疾病</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儿童生长激素缺乏症、甲状腺功能减退症、甲状腺功能亢进症（含甲亢性心脏病等）、皮质醇增多症、糖尿病（含糖尿病各种并发症等）、痛风（高尿酸血症）、原发性慢性肾上腺皮质功能减退症、重度骨质疏松症</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垂体功能减退症、代谢综合征、肥胖症、骨质疏松症、慢性淋巴细胞性甲状腺炎、尿崩症、腺垂体功能减退症、营养缺乏病</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风湿免疫性疾病</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多发性肌炎（皮肌炎）、骨关节炎、类风湿关节炎、强直性脊柱炎、系统性红斑狼疮、系统性硬化病（硬皮病）、银屑病</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ANCA相关血管炎、IgG4相关疾病、白塞氏病/贝赫切特综合征、成人斯蒂尔病、大动脉炎、骶髂关节炎、反应性关节炎、风湿性多肌痛、风湿性关节炎、干燥综合征、关节炎、过敏性紫癜、结缔组织病相关肺动脉高压、结缔组织病相关间质性肺病、结节性多动脉炎、巨细胞动脉炎、抗磷脂综合征、特发性炎症性肌病、纤维肌痛综合征、血管炎、炎症肠病性脊柱关节炎、中轴型脊柱关节炎、自身炎症性疾病</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神经疾病</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癫痫、多发性硬化病、老年痴呆症（阿尔茨海默病）、脑瘫、脑血管病（含脑溢血、脑梗塞、脑血栓形成、脑血管畸形）、脑卒中后遗症</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帕金森综合症（帕金森病）、运动神经元病、重症肌无力</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智力障碍</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精神疾病</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精神病、精神分裂症、重型精神病</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分裂情感性障碍、焦虑障碍、进食障碍、恐惧症、器质性疾病所致精神障碍、强迫障碍、躯体形式障碍、双相情感障碍、睡眠障碍、抑郁症</w:t>
            </w:r>
          </w:p>
        </w:tc>
      </w:tr>
      <w:tr>
        <w:tblPrEx>
          <w:tblCellMar>
            <w:top w:w="0" w:type="dxa"/>
            <w:left w:w="108" w:type="dxa"/>
            <w:bottom w:w="0" w:type="dxa"/>
            <w:right w:w="108" w:type="dxa"/>
          </w:tblCellMar>
        </w:tblPrEx>
        <w:trPr>
          <w:trHeight w:val="285" w:hRule="atLeast"/>
          <w:jc w:val="center"/>
        </w:trPr>
        <w:tc>
          <w:tcPr>
            <w:tcW w:w="5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42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4058" w:type="pct"/>
            <w:tcBorders>
              <w:top w:val="single" w:color="auto" w:sz="4" w:space="0"/>
              <w:left w:val="nil"/>
              <w:bottom w:val="single" w:color="auto" w:sz="4" w:space="0"/>
              <w:right w:val="single" w:color="auto" w:sz="4" w:space="0"/>
            </w:tcBorders>
            <w:shd w:val="clear" w:color="000000" w:fill="auto"/>
            <w:noWrap/>
            <w:vAlign w:val="center"/>
          </w:tcPr>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癌症放化疗、艾滋病、恶性肿瘤、股骨头坏死、结核病、戒毒治疗、良性脑瘤、慢性骨髓炎、器官或组织移植后抗排斥治疗、青光眼</w:t>
            </w:r>
          </w:p>
          <w:p>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白癜风、败血症、斑秃、闭经、痤疮、大疱性类天疱、多囊卵巢综合征、黄斑变性、颈腰椎病（含颈椎间盘突出症、脊髓型颈椎病、神经根型颈椎病、腰椎间盘突出症、腰椎间盘脱出、腰椎椎管狭窄症、腰椎滑脱）、卵巢功能减退、慢性非癌性疼痛如神经病理性疼痛（含三叉神经痛、疱疹后神经痛等）、慢性荨麻疹、玫瑰痤疮、皮肤深部真菌病、葡萄膜炎、瘙痒症、视网膜色素变性、视网膜血管栓塞、特发性骨髓纤维化、特应性皮炎（慢性湿疹）、天疱疮、头癣、退行性疼痛（含颈椎病、退变性腰背痛等）、围绝经期综合征、雄激素性脱发、遗传性大疱性表皮松解症、遗传性掌跖角化症、异常子宫出血、鱼鳞病、原发性皮肤淀粉样变、月经失调、脂溢性脱发、子宫内膜异位症</w:t>
            </w:r>
          </w:p>
        </w:tc>
      </w:tr>
    </w:tbl>
    <w:p/>
    <w:p/>
    <w:p/>
    <w:p/>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等线">
    <w:altName w:val="仿宋"/>
    <w:panose1 w:val="00000000000000000000"/>
    <w:charset w:val="00"/>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EBC1C"/>
    <w:rsid w:val="EFFEB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2022-12-09T12:47:00Z</dcterms:created>
  <dc:creator>test</dc:creator>
  <cp:lastModifiedBy>test</cp:lastModifiedBy>
  <dcterms:modified xsi:type="dcterms:W3CDTF">2022-12-09T12:48:03Z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