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四川省第二类医疗器械注册质量管理</w:t>
      </w: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体系核查工作程序</w:t>
      </w:r>
    </w:p>
    <w:p>
      <w:pPr>
        <w:pStyle w:val="2"/>
        <w:rPr>
          <w:rFonts w:ascii="Times New Roman" w:hAnsi="Times New Roman" w:eastAsia="仿宋" w:cs="Times New Roman"/>
          <w:color w:val="000000" w:themeColor="text1"/>
          <w:kern w:val="0"/>
          <w:sz w:val="32"/>
          <w:szCs w:val="32"/>
          <w14:textFill>
            <w14:solidFill>
              <w14:schemeClr w14:val="tx1"/>
            </w14:solidFill>
          </w14:textFill>
        </w:rPr>
      </w:pPr>
    </w:p>
    <w:p>
      <w:pPr>
        <w:rPr>
          <w:color w:val="000000" w:themeColor="text1"/>
          <w14:textFill>
            <w14:solidFill>
              <w14:schemeClr w14:val="tx1"/>
            </w14:solidFill>
          </w14:textFill>
        </w:rPr>
      </w:pPr>
    </w:p>
    <w:p>
      <w:pPr>
        <w:spacing w:line="560" w:lineRule="exact"/>
        <w:ind w:firstLine="633" w:firstLineChars="198"/>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第一条</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为做好第二类医疗器械注册质量管理体系核查工作，根据《医疗器械监督管理条例》</w:t>
      </w:r>
      <w:r>
        <w:rPr>
          <w:rFonts w:hint="default" w:ascii="Times New Roman" w:hAnsi="Times New Roman" w:eastAsia="仿宋_GB2312"/>
          <w:color w:val="000000" w:themeColor="text1"/>
          <w:sz w:val="32"/>
          <w:szCs w:val="32"/>
          <w14:textFill>
            <w14:solidFill>
              <w14:schemeClr w14:val="tx1"/>
            </w14:solidFill>
          </w14:textFill>
        </w:rPr>
        <w:t>（国务院令第739号）</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《医疗器械注册与备案管理办法》</w:t>
      </w:r>
      <w:r>
        <w:rPr>
          <w:rFonts w:hint="default" w:ascii="Times New Roman" w:hAnsi="Times New Roman" w:eastAsia="仿宋_GB2312"/>
          <w:color w:val="000000" w:themeColor="text1"/>
          <w:sz w:val="32"/>
          <w:szCs w:val="32"/>
          <w14:textFill>
            <w14:solidFill>
              <w14:schemeClr w14:val="tx1"/>
            </w14:solidFill>
          </w14:textFill>
        </w:rPr>
        <w:t>（国家市场监督管理总局令第47号）</w:t>
      </w:r>
      <w:r>
        <w:rPr>
          <w:rFonts w:ascii="Times New Roman" w:hAnsi="Times New Roman" w:eastAsia="仿宋_GB2312" w:cs="Times New Roman"/>
          <w:color w:val="000000" w:themeColor="text1"/>
          <w:sz w:val="32"/>
          <w:szCs w:val="32"/>
          <w14:textFill>
            <w14:solidFill>
              <w14:schemeClr w14:val="tx1"/>
            </w14:solidFill>
          </w14:textFill>
        </w:rPr>
        <w:t>和《体外诊断试剂注册与备案管理办法》</w:t>
      </w:r>
      <w:r>
        <w:rPr>
          <w:rFonts w:hint="default" w:ascii="Times New Roman" w:hAnsi="Times New Roman" w:eastAsia="仿宋_GB2312"/>
          <w:color w:val="000000" w:themeColor="text1"/>
          <w:sz w:val="32"/>
          <w:szCs w:val="32"/>
          <w14:textFill>
            <w14:solidFill>
              <w14:schemeClr w14:val="tx1"/>
            </w14:solidFill>
          </w14:textFill>
        </w:rPr>
        <w:t>（国家市场监督管理总局令第48号）</w:t>
      </w:r>
      <w:r>
        <w:rPr>
          <w:rFonts w:ascii="Times New Roman" w:hAnsi="Times New Roman" w:eastAsia="仿宋_GB2312" w:cs="Times New Roman"/>
          <w:color w:val="000000" w:themeColor="text1"/>
          <w:sz w:val="32"/>
          <w:szCs w:val="32"/>
          <w14:textFill>
            <w14:solidFill>
              <w14:schemeClr w14:val="tx1"/>
            </w14:solidFill>
          </w14:textFill>
        </w:rPr>
        <w:t>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法规、规章和</w:t>
      </w:r>
      <w:r>
        <w:rPr>
          <w:rFonts w:ascii="Times New Roman" w:hAnsi="Times New Roman" w:eastAsia="仿宋_GB2312" w:cs="Times New Roman"/>
          <w:color w:val="000000" w:themeColor="text1"/>
          <w:sz w:val="32"/>
          <w:szCs w:val="32"/>
          <w14:textFill>
            <w14:solidFill>
              <w14:schemeClr w14:val="tx1"/>
            </w14:solidFill>
          </w14:textFill>
        </w:rPr>
        <w:t>相关规定，结合我省实际，制定本程序。</w:t>
      </w:r>
    </w:p>
    <w:p>
      <w:pPr>
        <w:spacing w:line="560" w:lineRule="exact"/>
        <w:ind w:firstLine="633" w:firstLineChars="198"/>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本程序适用于在我省申请注册的第二类医疗器械注册质量管理体系核查。</w:t>
      </w:r>
    </w:p>
    <w:p>
      <w:pPr>
        <w:spacing w:line="560" w:lineRule="exact"/>
        <w:ind w:firstLine="633" w:firstLineChars="198"/>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第三条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四川省药品监督管理局（以下简称</w:t>
      </w:r>
      <w:r>
        <w:rPr>
          <w:rFonts w:hint="eastAsia" w:ascii="仿宋_GB2312" w:hAnsi="仿宋_GB2312" w:eastAsia="仿宋_GB2312" w:cs="仿宋_GB2312"/>
          <w:color w:val="000000" w:themeColor="text1"/>
          <w:sz w:val="32"/>
          <w:szCs w:val="32"/>
          <w14:textFill>
            <w14:solidFill>
              <w14:schemeClr w14:val="tx1"/>
            </w14:solidFill>
          </w14:textFill>
        </w:rPr>
        <w:t>“省局”</w:t>
      </w:r>
      <w:r>
        <w:rPr>
          <w:rFonts w:ascii="Times New Roman" w:hAnsi="Times New Roman" w:eastAsia="仿宋_GB2312" w:cs="Times New Roman"/>
          <w:color w:val="000000" w:themeColor="text1"/>
          <w:sz w:val="32"/>
          <w:szCs w:val="32"/>
          <w14:textFill>
            <w14:solidFill>
              <w14:schemeClr w14:val="tx1"/>
            </w14:solidFill>
          </w14:textFill>
        </w:rPr>
        <w:t>）负责全省第二类医疗器械注册质量管理体系核查（以下简称</w:t>
      </w:r>
      <w:r>
        <w:rPr>
          <w:rFonts w:ascii="仿宋_GB2312" w:hAnsi="仿宋_GB2312" w:eastAsia="仿宋_GB2312" w:cs="仿宋_GB2312"/>
          <w:color w:val="000000" w:themeColor="text1"/>
          <w:sz w:val="32"/>
          <w:szCs w:val="32"/>
          <w14:textFill>
            <w14:solidFill>
              <w14:schemeClr w14:val="tx1"/>
            </w14:solidFill>
          </w14:textFill>
        </w:rPr>
        <w:t>“体系核查”）工作，四川省食品药品审查评价及安全监测中心（以下简称“省审评中心”）负责体系核查工作的组织实施。</w:t>
      </w:r>
    </w:p>
    <w:p>
      <w:pPr>
        <w:autoSpaceDE w:val="0"/>
        <w:autoSpaceDN w:val="0"/>
        <w:adjustRightIn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第四条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注册申请人（以下简称“申请人”）注册时同步提交质量管理体</w:t>
      </w:r>
      <w:r>
        <w:rPr>
          <w:rFonts w:hint="eastAsia" w:ascii="仿宋_GB2312" w:hAnsi="仿宋_GB2312" w:eastAsia="仿宋_GB2312" w:cs="仿宋_GB2312"/>
          <w:color w:val="000000" w:themeColor="text1"/>
          <w:sz w:val="32"/>
          <w:szCs w:val="32"/>
          <w:u w:val="none"/>
          <w14:textFill>
            <w14:solidFill>
              <w14:schemeClr w14:val="tx1"/>
            </w14:solidFill>
          </w14:textFill>
        </w:rPr>
        <w:t>系文件。注册申请受理后即视为申请人已按照相关要求建立质量管理体系，可随</w:t>
      </w:r>
      <w:r>
        <w:rPr>
          <w:rFonts w:hint="eastAsia" w:ascii="仿宋_GB2312" w:hAnsi="仿宋_GB2312" w:eastAsia="仿宋_GB2312" w:cs="仿宋_GB2312"/>
          <w:color w:val="000000" w:themeColor="text1"/>
          <w:sz w:val="32"/>
          <w:szCs w:val="32"/>
          <w14:textFill>
            <w14:solidFill>
              <w14:schemeClr w14:val="tx1"/>
            </w14:solidFill>
          </w14:textFill>
        </w:rPr>
        <w:t>时接受体系核查。</w:t>
      </w:r>
    </w:p>
    <w:p>
      <w:pPr>
        <w:spacing w:line="560" w:lineRule="exact"/>
        <w:ind w:firstLine="633" w:firstLineChars="198"/>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第五条 </w:t>
      </w:r>
      <w:r>
        <w:rPr>
          <w:rFonts w:ascii="Times New Roman" w:hAnsi="Times New Roman" w:eastAsia="仿宋" w:cs="Times New Roman"/>
          <w:color w:val="000000" w:themeColor="text1"/>
          <w:sz w:val="32"/>
          <w:szCs w:val="32"/>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省审评中心在收到质量管理体系文件后，应对有关资料进行审查，在技术审评中认为有必要进行体系核查的，按照医疗器械生产质量管理规范及相关附录、注册质量管理体系核查指南的要求开展与产品研制、生产有关的体系核查。</w:t>
      </w:r>
    </w:p>
    <w:p>
      <w:pPr>
        <w:autoSpaceDE w:val="0"/>
        <w:autoSpaceDN w:val="0"/>
        <w:adjustRightIn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在核查过程中，应当同时对申请人检验用产品和临床试验用产品的真实性进行核查。重点查阅设计开发过程实施策划和控制的相关记录、用于产品生产的采购记录、生产记录、检验记录和留样观察记录等。</w:t>
      </w:r>
    </w:p>
    <w:p>
      <w:pPr>
        <w:autoSpaceDE w:val="0"/>
        <w:autoSpaceDN w:val="0"/>
        <w:adjustRightIn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提交自检报告的，还应按照《医疗器械注册自检管理规定》对申请人或者受托机构研制过程中的检验能力、检验结果等进行重点核查。</w:t>
      </w:r>
    </w:p>
    <w:p>
      <w:pPr>
        <w:spacing w:line="560" w:lineRule="exact"/>
        <w:ind w:firstLine="633" w:firstLineChars="198"/>
        <w:rPr>
          <w:color w:val="000000" w:themeColor="text1"/>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w:t>
      </w:r>
      <w:r>
        <w:rPr>
          <w:rFonts w:hint="eastAsia" w:ascii="黑体" w:hAnsi="黑体" w:eastAsia="黑体" w:cs="黑体"/>
          <w:color w:val="000000" w:themeColor="text1"/>
          <w:kern w:val="0"/>
          <w:sz w:val="32"/>
          <w:szCs w:val="32"/>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省审评中心根据申请人的具体情况、监督检查情况、本次申请注册产品与既往已通过核查产品生产条件及工艺对比情况等，确定检查方式以及检查内容，避免重复检查。</w:t>
      </w:r>
    </w:p>
    <w:p>
      <w:pPr>
        <w:pStyle w:val="2"/>
        <w:ind w:left="0" w:leftChars="0" w:firstLine="640" w:firstLineChars="200"/>
        <w:rPr>
          <w:color w:val="000000" w:themeColor="text1"/>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产品具有相同工作原理、预期用途，并且具有基本相同的结构组成、生产条件、生产工艺的，现场检查时，可仅对注册申请人检验用产品和临床试验用产品的真实性进行核查，重点查阅设计开发过程实施策划和控制的相关记录</w:t>
      </w:r>
      <w:r>
        <w:rPr>
          <w:rFonts w:ascii="Times New Roman" w:hAnsi="Times New Roman" w:eastAsia="仿宋_GB2312"/>
          <w:color w:val="000000" w:themeColor="text1"/>
          <w:sz w:val="32"/>
          <w:szCs w:val="32"/>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用于产品生产的采购记录、生产记录、检验记录和留样观察记录等。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第七条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hint="eastAsia" w:ascii="Times New Roman" w:hAnsi="Times New Roman" w:eastAsia="仿宋" w:cs="Times New Roman"/>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体系核查可以采取现场检查、资料审查等方式开展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若遇特殊情况，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也</w:t>
      </w:r>
      <w:r>
        <w:rPr>
          <w:rFonts w:hint="eastAsia" w:ascii="仿宋_GB2312" w:hAnsi="仿宋_GB2312" w:eastAsia="仿宋_GB2312" w:cs="仿宋_GB2312"/>
          <w:color w:val="000000" w:themeColor="text1"/>
          <w:sz w:val="32"/>
          <w:szCs w:val="32"/>
          <w14:textFill>
            <w14:solidFill>
              <w14:schemeClr w14:val="tx1"/>
            </w14:solidFill>
          </w14:textFill>
        </w:rPr>
        <w:t>可采用线上检查的形式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组织核查</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八</w:t>
      </w:r>
      <w:r>
        <w:rPr>
          <w:rFonts w:ascii="Times New Roman" w:hAnsi="Times New Roman" w:eastAsia="黑体" w:cs="Times New Roman"/>
          <w:color w:val="000000" w:themeColor="text1"/>
          <w:kern w:val="0"/>
          <w:sz w:val="32"/>
          <w:szCs w:val="32"/>
          <w14:textFill>
            <w14:solidFill>
              <w14:schemeClr w14:val="tx1"/>
            </w14:solidFill>
          </w14:textFill>
        </w:rPr>
        <w:t>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以下情形应当开展现场检查：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w:t>
      </w:r>
      <w:r>
        <w:rPr>
          <w:rFonts w:ascii="Times New Roman" w:hAnsi="Times New Roman" w:eastAsia="仿宋_GB2312" w:cs="Times New Roman"/>
          <w:color w:val="000000"/>
          <w:sz w:val="32"/>
          <w:szCs w:val="32"/>
        </w:rPr>
        <w:t>新企业的首</w:t>
      </w:r>
      <w:r>
        <w:rPr>
          <w:rFonts w:hint="eastAsia" w:ascii="Times New Roman" w:hAnsi="Times New Roman" w:eastAsia="仿宋_GB2312" w:cs="Times New Roman"/>
          <w:color w:val="000000"/>
          <w:sz w:val="32"/>
          <w:szCs w:val="32"/>
          <w:lang w:val="en-US" w:eastAsia="zh-CN"/>
        </w:rPr>
        <w:t>件</w:t>
      </w:r>
      <w:r>
        <w:rPr>
          <w:rFonts w:ascii="Times New Roman" w:hAnsi="Times New Roman" w:eastAsia="仿宋_GB2312" w:cs="Times New Roman"/>
          <w:color w:val="000000"/>
          <w:sz w:val="32"/>
          <w:szCs w:val="32"/>
        </w:rPr>
        <w:t>产品注册；（二）</w:t>
      </w:r>
      <w:r>
        <w:rPr>
          <w:rFonts w:hint="eastAsia" w:ascii="Times New Roman" w:hAnsi="Times New Roman" w:eastAsia="仿宋_GB2312" w:cs="Times New Roman"/>
          <w:color w:val="000000"/>
          <w:sz w:val="32"/>
          <w:szCs w:val="32"/>
          <w:lang w:val="en-US" w:eastAsia="zh-CN"/>
        </w:rPr>
        <w:t>新</w:t>
      </w:r>
      <w:r>
        <w:rPr>
          <w:rFonts w:ascii="Times New Roman" w:hAnsi="Times New Roman" w:eastAsia="仿宋_GB2312" w:cs="Times New Roman"/>
          <w:color w:val="000000"/>
          <w:sz w:val="32"/>
          <w:szCs w:val="32"/>
        </w:rPr>
        <w:t>生产地址的</w:t>
      </w:r>
      <w:r>
        <w:rPr>
          <w:rFonts w:hint="eastAsia" w:ascii="Times New Roman" w:hAnsi="Times New Roman" w:eastAsia="仿宋_GB2312" w:cs="Times New Roman"/>
          <w:color w:val="000000"/>
          <w:sz w:val="32"/>
          <w:szCs w:val="32"/>
          <w:lang w:val="en-US" w:eastAsia="zh-CN"/>
        </w:rPr>
        <w:t>首件</w:t>
      </w:r>
      <w:r>
        <w:rPr>
          <w:rFonts w:ascii="Times New Roman" w:hAnsi="Times New Roman" w:eastAsia="仿宋_GB2312" w:cs="Times New Roman"/>
          <w:color w:val="000000"/>
          <w:sz w:val="32"/>
          <w:szCs w:val="32"/>
        </w:rPr>
        <w:t>产品注册</w:t>
      </w:r>
      <w:r>
        <w:rPr>
          <w:rFonts w:ascii="Times New Roman" w:hAnsi="Times New Roman" w:eastAsia="仿宋_GB2312" w:cs="Times New Roman"/>
          <w:color w:val="000000" w:themeColor="text1"/>
          <w:sz w:val="32"/>
          <w:szCs w:val="32"/>
          <w14:textFill>
            <w14:solidFill>
              <w14:schemeClr w14:val="tx1"/>
            </w14:solidFill>
          </w14:textFill>
        </w:rPr>
        <w:t>；（三）根据既往未适用过的生产质量管理规范附录开展体系核查的；（四）技术审评过程中认为应当开展现场检查的其他情形。</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九</w:t>
      </w:r>
      <w:r>
        <w:rPr>
          <w:rFonts w:ascii="Times New Roman" w:hAnsi="Times New Roman" w:eastAsia="黑体" w:cs="Times New Roman"/>
          <w:color w:val="000000" w:themeColor="text1"/>
          <w:kern w:val="0"/>
          <w:sz w:val="32"/>
          <w:szCs w:val="32"/>
          <w14:textFill>
            <w14:solidFill>
              <w14:schemeClr w14:val="tx1"/>
            </w14:solidFill>
          </w14:textFill>
        </w:rPr>
        <w:t xml:space="preserve">条  </w:t>
      </w:r>
      <w:r>
        <w:rPr>
          <w:rFonts w:ascii="Times New Roman" w:hAnsi="Times New Roman" w:eastAsia="仿宋_GB2312" w:cs="Times New Roman"/>
          <w:color w:val="000000" w:themeColor="text1"/>
          <w:sz w:val="32"/>
          <w:szCs w:val="32"/>
          <w14:textFill>
            <w14:solidFill>
              <w14:schemeClr w14:val="tx1"/>
            </w14:solidFill>
          </w14:textFill>
        </w:rPr>
        <w:t>省审评中心应当在提出核查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w:t>
      </w:r>
      <w:r>
        <w:rPr>
          <w:rFonts w:ascii="Times New Roman" w:hAnsi="Times New Roman" w:eastAsia="仿宋_GB2312" w:cs="Times New Roman"/>
          <w:color w:val="000000" w:themeColor="text1"/>
          <w:sz w:val="32"/>
          <w:szCs w:val="32"/>
          <w14:textFill>
            <w14:solidFill>
              <w14:schemeClr w14:val="tx1"/>
            </w14:solidFill>
          </w14:textFill>
        </w:rPr>
        <w:t>求后30个工作日内完成体系核查工作。</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第十条 </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检查组</w:t>
      </w:r>
      <w:r>
        <w:rPr>
          <w:rFonts w:ascii="Times New Roman" w:hAnsi="Times New Roman" w:eastAsia="仿宋_GB2312" w:cs="Times New Roman"/>
          <w:color w:val="000000" w:themeColor="text1"/>
          <w:sz w:val="32"/>
          <w:szCs w:val="32"/>
          <w14:textFill>
            <w14:solidFill>
              <w14:schemeClr w14:val="tx1"/>
            </w14:solidFill>
          </w14:textFill>
        </w:rPr>
        <w:t>在实施现场检查前应当制定现场检查方案。现场检查方案内容包括：企业基本情况、检查品种、检查目的、检查依据、检查时间、日程安排、检查项目</w:t>
      </w:r>
      <w:r>
        <w:rPr>
          <w:rFonts w:hint="eastAsia"/>
          <w:color w:val="000000" w:themeColor="text1"/>
          <w:lang w:eastAsia="zh-CN"/>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检查组成员及分工</w:t>
      </w:r>
      <w:r>
        <w:rPr>
          <w:rFonts w:ascii="Times New Roman" w:hAnsi="Times New Roman" w:eastAsia="仿宋_GB2312" w:cs="Times New Roman"/>
          <w:color w:val="000000" w:themeColor="text1"/>
          <w:sz w:val="32"/>
          <w:szCs w:val="32"/>
          <w14:textFill>
            <w14:solidFill>
              <w14:schemeClr w14:val="tx1"/>
            </w14:solidFill>
          </w14:textFill>
        </w:rPr>
        <w:t>等。现场检查时间一般为1至</w:t>
      </w:r>
      <w:r>
        <w:rPr>
          <w:rFonts w:ascii="Times New Roman" w:hAnsi="Times New Roman" w:eastAsia="仿宋" w:cs="Times New Roman"/>
          <w:color w:val="000000" w:themeColor="text1"/>
          <w:sz w:val="32"/>
          <w:szCs w:val="32"/>
          <w14:textFill>
            <w14:solidFill>
              <w14:schemeClr w14:val="tx1"/>
            </w14:solidFill>
          </w14:textFill>
        </w:rPr>
        <w:t>3天，如3天仍不能完成检查的，可适当延长时间。</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一</w:t>
      </w:r>
      <w:r>
        <w:rPr>
          <w:rFonts w:ascii="Times New Roman" w:hAnsi="Times New Roman" w:eastAsia="黑体" w:cs="Times New Roman"/>
          <w:color w:val="000000" w:themeColor="text1"/>
          <w:kern w:val="0"/>
          <w:sz w:val="32"/>
          <w:szCs w:val="32"/>
          <w14:textFill>
            <w14:solidFill>
              <w14:schemeClr w14:val="tx1"/>
            </w14:solidFill>
          </w14:textFill>
        </w:rPr>
        <w:t xml:space="preserve">条 </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检</w:t>
      </w:r>
      <w:r>
        <w:rPr>
          <w:rFonts w:ascii="Times New Roman" w:hAnsi="Times New Roman" w:eastAsia="仿宋_GB2312" w:cs="Times New Roman"/>
          <w:color w:val="000000" w:themeColor="text1"/>
          <w:sz w:val="32"/>
          <w:szCs w:val="32"/>
          <w14:textFill>
            <w14:solidFill>
              <w14:schemeClr w14:val="tx1"/>
            </w14:solidFill>
          </w14:textFill>
        </w:rPr>
        <w:t>查组应当由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名以上（含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名）检查员组成，检查员从省级医疗器械检查员库中抽取，企业所在辖区的检查分局可派1名观察员参加现场检查。必要时，省审评中心可邀请相关专家参加现场检查。对于提交自检报告的，检查时应当选派熟悉检验的检查员参与检查。</w:t>
      </w:r>
    </w:p>
    <w:p>
      <w:pPr>
        <w:spacing w:line="560" w:lineRule="exact"/>
        <w:ind w:firstLine="633" w:firstLineChars="198"/>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二</w:t>
      </w:r>
      <w:r>
        <w:rPr>
          <w:rFonts w:ascii="Times New Roman" w:hAnsi="Times New Roman" w:eastAsia="黑体" w:cs="Times New Roman"/>
          <w:color w:val="000000" w:themeColor="text1"/>
          <w:kern w:val="0"/>
          <w:sz w:val="32"/>
          <w:szCs w:val="32"/>
          <w14:textFill>
            <w14:solidFill>
              <w14:schemeClr w14:val="tx1"/>
            </w14:solidFill>
          </w14:textFill>
        </w:rPr>
        <w:t>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现场检查实行检查组长负责制。检查组长负责组织召开现场检查首次会议、检查组内部会议以及末次会议，负责现场检查资料汇总，组织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审定</w:t>
      </w:r>
      <w:r>
        <w:rPr>
          <w:rFonts w:ascii="Times New Roman" w:hAnsi="Times New Roman" w:eastAsia="仿宋_GB2312" w:cs="Times New Roman"/>
          <w:color w:val="000000" w:themeColor="text1"/>
          <w:sz w:val="32"/>
          <w:szCs w:val="32"/>
          <w14:textFill>
            <w14:solidFill>
              <w14:schemeClr w14:val="tx1"/>
            </w14:solidFill>
          </w14:textFill>
        </w:rPr>
        <w:t>现场检查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结论</w:t>
      </w:r>
      <w:r>
        <w:rPr>
          <w:rFonts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三</w:t>
      </w:r>
      <w:r>
        <w:rPr>
          <w:rFonts w:ascii="Times New Roman" w:hAnsi="Times New Roman" w:eastAsia="黑体" w:cs="Times New Roman"/>
          <w:color w:val="000000" w:themeColor="text1"/>
          <w:kern w:val="0"/>
          <w:sz w:val="32"/>
          <w:szCs w:val="32"/>
          <w14:textFill>
            <w14:solidFill>
              <w14:schemeClr w14:val="tx1"/>
            </w14:solidFill>
          </w14:textFill>
        </w:rPr>
        <w:t>条</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现场检查开始时，应当召开首次会议。首次会议应当由检查组成员、观察员、企业负责人和/或管理者代表、相关人员参加。内容包括确认检查范围、落实检查日程、宣布检查纪律和注意事项、确定企业联络人员等。</w:t>
      </w:r>
    </w:p>
    <w:p>
      <w:pPr>
        <w:spacing w:line="560" w:lineRule="exact"/>
        <w:ind w:firstLine="633" w:firstLineChars="198"/>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四</w:t>
      </w:r>
      <w:r>
        <w:rPr>
          <w:rFonts w:ascii="Times New Roman" w:hAnsi="Times New Roman" w:eastAsia="黑体" w:cs="Times New Roman"/>
          <w:color w:val="000000" w:themeColor="text1"/>
          <w:kern w:val="0"/>
          <w:sz w:val="32"/>
          <w:szCs w:val="32"/>
          <w14:textFill>
            <w14:solidFill>
              <w14:schemeClr w14:val="tx1"/>
            </w14:solidFill>
          </w14:textFill>
        </w:rPr>
        <w:t>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检查组应当按照检查方案进行检查，对检查发现的问题如实记录。现场检查过程中如发现申请人存在违法违规等行为，检查组应及时向省审评中心报告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，涉及违法行为由审评中心向</w:t>
      </w:r>
      <w:r>
        <w:rPr>
          <w:rFonts w:ascii="Times New Roman" w:hAnsi="Times New Roman" w:eastAsia="仿宋_GB2312" w:cs="Times New Roman"/>
          <w:color w:val="000000" w:themeColor="text1"/>
          <w:sz w:val="32"/>
          <w:szCs w:val="32"/>
          <w14:textFill>
            <w14:solidFill>
              <w14:schemeClr w14:val="tx1"/>
            </w14:solidFill>
          </w14:textFill>
        </w:rPr>
        <w:t>省局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报告</w:t>
      </w:r>
      <w:r>
        <w:rPr>
          <w:rFonts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五</w:t>
      </w:r>
      <w:r>
        <w:rPr>
          <w:rFonts w:ascii="Times New Roman" w:hAnsi="Times New Roman" w:eastAsia="黑体" w:cs="Times New Roman"/>
          <w:color w:val="000000" w:themeColor="text1"/>
          <w:kern w:val="0"/>
          <w:sz w:val="32"/>
          <w:szCs w:val="32"/>
          <w14:textFill>
            <w14:solidFill>
              <w14:schemeClr w14:val="tx1"/>
            </w14:solidFill>
          </w14:textFill>
        </w:rPr>
        <w:t>条</w:t>
      </w:r>
      <w:r>
        <w:rPr>
          <w:rFonts w:ascii="Times New Roman" w:hAnsi="Times New Roman" w:eastAsia="仿宋" w:cs="Times New Roman"/>
          <w:b/>
          <w:bCs/>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在现场检查期间，检查组应当召开内部会议，交流检查情况，对疑难问题进行研究并提出处理意见，必要时应予取证。检查结束前，检查组应当召开内部会议，进行汇总、评定，并如实记录。检查组内部会议期间，企业人员应当回避。</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现场检查结束时，检查组应当召开末次会议。末次会议应当由检查组成员、观察员、企业负责人和/或管理者代表、相关人员参加。内容包括检查组向企业通报现场检查情况，企业对现场检查情况进行确认。对于检查中发现的问题有异议的，企业应当提供书面说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、相关证据</w:t>
      </w:r>
      <w:r>
        <w:rPr>
          <w:rFonts w:ascii="Times New Roman" w:hAnsi="Times New Roman" w:eastAsia="仿宋_GB2312" w:cs="Times New Roman"/>
          <w:color w:val="000000" w:themeColor="text1"/>
          <w:sz w:val="32"/>
          <w:szCs w:val="32"/>
          <w14:textFill>
            <w14:solidFill>
              <w14:schemeClr w14:val="tx1"/>
            </w14:solidFill>
          </w14:textFill>
        </w:rPr>
        <w:t>和证明材料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spacing w:line="560" w:lineRule="exact"/>
        <w:ind w:firstLine="633" w:firstLineChars="198"/>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eastAsia="zh-CN"/>
          <w14:textFill>
            <w14:solidFill>
              <w14:schemeClr w14:val="tx1"/>
            </w14:solidFill>
          </w14:textFill>
        </w:rPr>
        <w:t>七</w:t>
      </w:r>
      <w:r>
        <w:rPr>
          <w:rFonts w:hint="eastAsia" w:ascii="黑体" w:hAnsi="黑体" w:eastAsia="黑体" w:cs="黑体"/>
          <w:bCs/>
          <w:color w:val="000000" w:themeColor="text1"/>
          <w:sz w:val="32"/>
          <w:szCs w:val="32"/>
          <w14:textFill>
            <w14:solidFill>
              <w14:schemeClr w14:val="tx1"/>
            </w14:solidFill>
          </w14:textFill>
        </w:rPr>
        <w:t>条</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检查组对现场检查出具检查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结论</w:t>
      </w:r>
      <w:r>
        <w:rPr>
          <w:rFonts w:ascii="Times New Roman" w:hAnsi="Times New Roman" w:eastAsia="仿宋_GB2312" w:cs="Times New Roman"/>
          <w:color w:val="000000" w:themeColor="text1"/>
          <w:sz w:val="32"/>
          <w:szCs w:val="32"/>
          <w14:textFill>
            <w14:solidFill>
              <w14:schemeClr w14:val="tx1"/>
            </w14:solidFill>
          </w14:textFill>
        </w:rPr>
        <w:t>，检查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结论</w:t>
      </w:r>
      <w:r>
        <w:rPr>
          <w:rFonts w:ascii="Times New Roman" w:hAnsi="Times New Roman" w:eastAsia="仿宋_GB2312" w:cs="Times New Roman"/>
          <w:color w:val="000000" w:themeColor="text1"/>
          <w:sz w:val="32"/>
          <w:szCs w:val="32"/>
          <w14:textFill>
            <w14:solidFill>
              <w14:schemeClr w14:val="tx1"/>
            </w14:solidFill>
          </w14:textFill>
        </w:rPr>
        <w:t>分为</w:t>
      </w:r>
      <w:r>
        <w:rPr>
          <w:rFonts w:hint="eastAsia" w:ascii="仿宋_GB2312" w:hAnsi="仿宋_GB2312" w:eastAsia="仿宋_GB2312" w:cs="仿宋_GB2312"/>
          <w:color w:val="000000" w:themeColor="text1"/>
          <w:sz w:val="32"/>
          <w:szCs w:val="32"/>
          <w14:textFill>
            <w14:solidFill>
              <w14:schemeClr w14:val="tx1"/>
            </w14:solidFill>
          </w14:textFill>
        </w:rPr>
        <w:t>“通过检查”“整改后复查”“未通过检查”三种情况。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十八</w:t>
      </w:r>
      <w:r>
        <w:rPr>
          <w:rFonts w:hint="eastAsia" w:ascii="黑体" w:hAnsi="黑体" w:eastAsia="黑体" w:cs="黑体"/>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省审评中心自现场检查结束后5个工作日对检查组提交的现场检查资料进行审核，提出核查结论，核查结论为</w:t>
      </w:r>
      <w:r>
        <w:rPr>
          <w:rFonts w:ascii="仿宋_GB2312" w:hAnsi="仿宋_GB2312" w:eastAsia="仿宋_GB2312" w:cs="仿宋_GB2312"/>
          <w:color w:val="000000" w:themeColor="text1"/>
          <w:sz w:val="32"/>
          <w:szCs w:val="32"/>
          <w14:textFill>
            <w14:solidFill>
              <w14:schemeClr w14:val="tx1"/>
            </w14:solidFill>
          </w14:textFill>
        </w:rPr>
        <w:t>“通过核查”“整改后复查”“未通过核查”三种情况</w:t>
      </w:r>
      <w:r>
        <w:rPr>
          <w:rFonts w:ascii="Times New Roman" w:hAnsi="Times New Roman" w:eastAsia="仿宋_GB2312" w:cs="Times New Roman"/>
          <w:color w:val="000000" w:themeColor="text1"/>
          <w:sz w:val="32"/>
          <w:szCs w:val="32"/>
          <w14:textFill>
            <w14:solidFill>
              <w14:schemeClr w14:val="tx1"/>
            </w14:solidFill>
          </w14:textFill>
        </w:rPr>
        <w:t>。对于需要整改后复查的，</w:t>
      </w:r>
      <w:r>
        <w:rPr>
          <w:rFonts w:hint="default" w:ascii="Times New Roman" w:hAnsi="Times New Roman" w:eastAsia="仿宋_GB2312"/>
          <w:color w:val="000000" w:themeColor="text1"/>
          <w:sz w:val="32"/>
          <w:szCs w:val="32"/>
          <w14:textFill>
            <w14:solidFill>
              <w14:schemeClr w14:val="tx1"/>
            </w14:solidFill>
          </w14:textFill>
        </w:rPr>
        <w:t>自作出意见之日起</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default" w:ascii="Times New Roman" w:hAnsi="Times New Roman" w:eastAsia="仿宋_GB2312"/>
          <w:color w:val="000000" w:themeColor="text1"/>
          <w:sz w:val="32"/>
          <w:szCs w:val="32"/>
          <w14:textFill>
            <w14:solidFill>
              <w14:schemeClr w14:val="tx1"/>
            </w14:solidFill>
          </w14:textFill>
        </w:rPr>
        <w:t>个工作日内将需要整改的内容告知申请人</w:t>
      </w:r>
      <w:r>
        <w:rPr>
          <w:rFonts w:ascii="Times New Roman" w:hAnsi="Times New Roman" w:eastAsia="仿宋_GB2312" w:cs="Times New Roman"/>
          <w:color w:val="000000" w:themeColor="text1"/>
          <w:sz w:val="32"/>
          <w:szCs w:val="32"/>
          <w14:textFill>
            <w14:solidFill>
              <w14:schemeClr w14:val="tx1"/>
            </w14:solidFill>
          </w14:textFill>
        </w:rPr>
        <w:t>。对于未通过核查的，省审评中心书面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通知</w:t>
      </w:r>
      <w:r>
        <w:rPr>
          <w:rFonts w:ascii="Times New Roman" w:hAnsi="Times New Roman" w:eastAsia="仿宋_GB2312" w:cs="Times New Roman"/>
          <w:color w:val="000000" w:themeColor="text1"/>
          <w:sz w:val="32"/>
          <w:szCs w:val="32"/>
          <w14:textFill>
            <w14:solidFill>
              <w14:schemeClr w14:val="tx1"/>
            </w14:solidFill>
          </w14:textFill>
        </w:rPr>
        <w:t>申请人。</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十九</w:t>
      </w:r>
      <w:r>
        <w:rPr>
          <w:rFonts w:hint="eastAsia" w:ascii="黑体" w:hAnsi="黑体" w:eastAsia="黑体" w:cs="黑体"/>
          <w:bCs/>
          <w:color w:val="000000" w:themeColor="text1"/>
          <w:sz w:val="32"/>
          <w:szCs w:val="32"/>
          <w14:textFill>
            <w14:solidFill>
              <w14:schemeClr w14:val="tx1"/>
            </w14:solidFill>
          </w14:textFill>
        </w:rPr>
        <w:t>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hint="eastAsia"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整改后复查的，申请人自收到整改意见之日起6个月内一次性向省审评中心提交复查申请及整改报告。省审评中心应当在收到复查申请后30个工作日内完成复查，能够通过资料进行核实的，可免于现场复查。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未在规定期限内提交复查申请和整改报告的，以及复查后仍达不</w:t>
      </w:r>
      <w:r>
        <w:rPr>
          <w:rFonts w:hint="eastAsia" w:ascii="仿宋_GB2312" w:hAnsi="仿宋_GB2312" w:eastAsia="仿宋_GB2312" w:cs="仿宋_GB2312"/>
          <w:color w:val="000000" w:themeColor="text1"/>
          <w:sz w:val="32"/>
          <w:szCs w:val="32"/>
          <w14:textFill>
            <w14:solidFill>
              <w14:schemeClr w14:val="tx1"/>
            </w14:solidFill>
          </w14:textFill>
        </w:rPr>
        <w:t>到“通过核查”要求的，核查结论为“整改后未通过核查”。整改后通过核查的，</w:t>
      </w:r>
      <w:r>
        <w:rPr>
          <w:rFonts w:ascii="Times New Roman" w:hAnsi="Times New Roman" w:eastAsia="仿宋_GB2312" w:cs="Times New Roman"/>
          <w:color w:val="000000" w:themeColor="text1"/>
          <w:sz w:val="32"/>
          <w:szCs w:val="32"/>
          <w14:textFill>
            <w14:solidFill>
              <w14:schemeClr w14:val="tx1"/>
            </w14:solidFill>
          </w14:textFill>
        </w:rPr>
        <w:t>核查结论为“整改后通过核查”。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一</w:t>
      </w:r>
      <w:r>
        <w:rPr>
          <w:rFonts w:hint="eastAsia" w:ascii="黑体" w:hAnsi="黑体" w:eastAsia="黑体" w:cs="黑体"/>
          <w:bCs/>
          <w:color w:val="000000" w:themeColor="text1"/>
          <w:sz w:val="32"/>
          <w:szCs w:val="32"/>
          <w14:textFill>
            <w14:solidFill>
              <w14:schemeClr w14:val="tx1"/>
            </w14:solidFill>
          </w14:textFill>
        </w:rPr>
        <w:t>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因不可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抗力因素</w:t>
      </w:r>
      <w:r>
        <w:rPr>
          <w:rFonts w:ascii="Times New Roman" w:hAnsi="Times New Roman" w:eastAsia="仿宋_GB2312" w:cs="Times New Roman"/>
          <w:color w:val="000000" w:themeColor="text1"/>
          <w:sz w:val="32"/>
          <w:szCs w:val="32"/>
          <w14:textFill>
            <w14:solidFill>
              <w14:schemeClr w14:val="tx1"/>
            </w14:solidFill>
          </w14:textFill>
        </w:rPr>
        <w:t>，申请人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无法</w:t>
      </w:r>
      <w:r>
        <w:rPr>
          <w:rFonts w:ascii="Times New Roman" w:hAnsi="Times New Roman" w:eastAsia="仿宋_GB2312" w:cs="Times New Roman"/>
          <w:color w:val="000000" w:themeColor="text1"/>
          <w:sz w:val="32"/>
          <w:szCs w:val="32"/>
          <w14:textFill>
            <w14:solidFill>
              <w14:schemeClr w14:val="tx1"/>
            </w14:solidFill>
          </w14:textFill>
        </w:rPr>
        <w:t>接受现场检查的，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可书面</w:t>
      </w:r>
      <w:r>
        <w:rPr>
          <w:rFonts w:ascii="Times New Roman" w:hAnsi="Times New Roman" w:eastAsia="仿宋_GB2312" w:cs="Times New Roman"/>
          <w:color w:val="000000" w:themeColor="text1"/>
          <w:sz w:val="32"/>
          <w:szCs w:val="32"/>
          <w14:textFill>
            <w14:solidFill>
              <w14:schemeClr w14:val="tx1"/>
            </w14:solidFill>
          </w14:textFill>
        </w:rPr>
        <w:t>申请延期一次。申请人无故拒绝接受体系核查现场检查的，核查结论</w:t>
      </w:r>
      <w:r>
        <w:rPr>
          <w:rFonts w:hint="eastAsia" w:ascii="仿宋_GB2312" w:hAnsi="仿宋_GB2312" w:eastAsia="仿宋_GB2312" w:cs="仿宋_GB2312"/>
          <w:color w:val="000000" w:themeColor="text1"/>
          <w:sz w:val="32"/>
          <w:szCs w:val="32"/>
          <w14:textFill>
            <w14:solidFill>
              <w14:schemeClr w14:val="tx1"/>
            </w14:solidFill>
          </w14:textFill>
        </w:rPr>
        <w:t>为“未通过核查”。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 xml:space="preserve">条 </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未通过核查的，省审评中心对相应申报注册产品提出不予注册的审评意见，省局作出不予注册的决定。</w:t>
      </w:r>
    </w:p>
    <w:p>
      <w:pPr>
        <w:pStyle w:val="2"/>
        <w:ind w:left="0" w:leftChars="0" w:firstLine="640" w:firstLineChars="200"/>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olor w:val="000000" w:themeColor="text1"/>
          <w:sz w:val="32"/>
          <w:szCs w:val="32"/>
          <w14:textFill>
            <w14:solidFill>
              <w14:schemeClr w14:val="tx1"/>
            </w14:solidFill>
          </w14:textFill>
        </w:rPr>
        <w:t>涉及跨省委托生产的，</w:t>
      </w:r>
      <w:r>
        <w:rPr>
          <w:rFonts w:hint="eastAsia" w:ascii="Times New Roman" w:hAnsi="Times New Roman" w:eastAsia="仿宋_GB2312"/>
          <w:color w:val="000000" w:themeColor="text1"/>
          <w:sz w:val="32"/>
          <w:szCs w:val="32"/>
          <w:lang w:eastAsia="zh-CN"/>
          <w14:textFill>
            <w14:solidFill>
              <w14:schemeClr w14:val="tx1"/>
            </w14:solidFill>
          </w14:textFill>
        </w:rPr>
        <w:t>审评中心按以上程序组织对注册申请人的核查，</w:t>
      </w:r>
      <w:r>
        <w:rPr>
          <w:rFonts w:hint="default" w:ascii="Times New Roman" w:hAnsi="Times New Roman" w:eastAsia="仿宋_GB2312"/>
          <w:color w:val="000000" w:themeColor="text1"/>
          <w:sz w:val="32"/>
          <w:szCs w:val="32"/>
          <w14:textFill>
            <w14:solidFill>
              <w14:schemeClr w14:val="tx1"/>
            </w14:solidFill>
          </w14:textFill>
        </w:rPr>
        <w:t>省</w:t>
      </w:r>
      <w:r>
        <w:rPr>
          <w:rFonts w:hint="eastAsia" w:eastAsia="仿宋_GB2312"/>
          <w:color w:val="000000" w:themeColor="text1"/>
          <w:sz w:val="32"/>
          <w:szCs w:val="32"/>
          <w:lang w:eastAsia="zh-CN"/>
          <w14:textFill>
            <w14:solidFill>
              <w14:schemeClr w14:val="tx1"/>
            </w14:solidFill>
          </w14:textFill>
        </w:rPr>
        <w:t>局</w:t>
      </w:r>
      <w:r>
        <w:rPr>
          <w:rFonts w:hint="default" w:ascii="Times New Roman" w:hAnsi="Times New Roman" w:eastAsia="仿宋_GB2312"/>
          <w:color w:val="000000" w:themeColor="text1"/>
          <w:sz w:val="32"/>
          <w:szCs w:val="32"/>
          <w14:textFill>
            <w14:solidFill>
              <w14:schemeClr w14:val="tx1"/>
            </w14:solidFill>
          </w14:textFill>
        </w:rPr>
        <w:t>协商受托生产企业所在地药品监督管理部门联合或委托开展</w:t>
      </w:r>
      <w:r>
        <w:rPr>
          <w:rFonts w:hint="eastAsia" w:ascii="Times New Roman" w:hAnsi="Times New Roman" w:eastAsia="仿宋_GB2312"/>
          <w:color w:val="000000" w:themeColor="text1"/>
          <w:sz w:val="32"/>
          <w:szCs w:val="32"/>
          <w:lang w:eastAsia="zh-CN"/>
          <w14:textFill>
            <w14:solidFill>
              <w14:schemeClr w14:val="tx1"/>
            </w14:solidFill>
          </w14:textFill>
        </w:rPr>
        <w:t>对受托生产企业的</w:t>
      </w:r>
      <w:r>
        <w:rPr>
          <w:rFonts w:hint="default" w:ascii="Times New Roman" w:hAnsi="Times New Roman" w:eastAsia="仿宋_GB2312"/>
          <w:color w:val="000000" w:themeColor="text1"/>
          <w:sz w:val="32"/>
          <w:szCs w:val="32"/>
          <w14:textFill>
            <w14:solidFill>
              <w14:schemeClr w14:val="tx1"/>
            </w14:solidFill>
          </w14:textFill>
        </w:rPr>
        <w:t>现场检查</w:t>
      </w:r>
      <w:r>
        <w:rPr>
          <w:rFonts w:hint="eastAsia" w:ascii="Times New Roman" w:hAnsi="Times New Roman" w:eastAsia="仿宋_GB2312"/>
          <w:color w:val="000000" w:themeColor="text1"/>
          <w:sz w:val="32"/>
          <w:szCs w:val="32"/>
          <w:lang w:eastAsia="zh-CN"/>
          <w14:textFill>
            <w14:solidFill>
              <w14:schemeClr w14:val="tx1"/>
            </w14:solidFill>
          </w14:textFill>
        </w:rPr>
        <w:t>，审评中心结合对注册人的检查情况汇总形成检查结论</w:t>
      </w:r>
      <w:r>
        <w:rPr>
          <w:rFonts w:hint="eastAsia"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申请人完成产品检验后，因规划调整、房屋拆迁等特殊原因需要变更生产地址的，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可向省局提出申请，在地址变更前，由</w:t>
      </w:r>
      <w:r>
        <w:rPr>
          <w:rFonts w:ascii="Times New Roman" w:hAnsi="Times New Roman" w:eastAsia="仿宋_GB2312" w:cs="Times New Roman"/>
          <w:color w:val="000000" w:themeColor="text1"/>
          <w:sz w:val="32"/>
          <w:szCs w:val="32"/>
          <w14:textFill>
            <w14:solidFill>
              <w14:schemeClr w14:val="tx1"/>
            </w14:solidFill>
          </w14:textFill>
        </w:rPr>
        <w:t>省审评中心提前开展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检验用产</w:t>
      </w:r>
      <w:r>
        <w:rPr>
          <w:rFonts w:ascii="Times New Roman" w:hAnsi="Times New Roman" w:eastAsia="仿宋_GB2312" w:cs="Times New Roman"/>
          <w:color w:val="000000" w:themeColor="text1"/>
          <w:sz w:val="32"/>
          <w:szCs w:val="32"/>
          <w14:textFill>
            <w14:solidFill>
              <w14:schemeClr w14:val="tx1"/>
            </w14:solidFill>
          </w14:textFill>
        </w:rPr>
        <w:t>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和临床试验用产品的</w:t>
      </w:r>
      <w:r>
        <w:rPr>
          <w:rFonts w:ascii="Times New Roman" w:hAnsi="Times New Roman" w:eastAsia="仿宋_GB2312" w:cs="Times New Roman"/>
          <w:color w:val="000000" w:themeColor="text1"/>
          <w:sz w:val="32"/>
          <w:szCs w:val="32"/>
          <w14:textFill>
            <w14:solidFill>
              <w14:schemeClr w14:val="tx1"/>
            </w14:solidFill>
          </w14:textFill>
        </w:rPr>
        <w:t>真实性及相应体系核查。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在后续技术审评过程中组织的体系可不进行产品真实性核查。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 xml:space="preserve">条  </w:t>
      </w:r>
      <w:r>
        <w:rPr>
          <w:rFonts w:ascii="Times New Roman" w:hAnsi="Times New Roman" w:eastAsia="仿宋_GB2312" w:cs="Times New Roman"/>
          <w:color w:val="000000" w:themeColor="text1"/>
          <w:sz w:val="32"/>
          <w:szCs w:val="32"/>
          <w14:textFill>
            <w14:solidFill>
              <w14:schemeClr w14:val="tx1"/>
            </w14:solidFill>
          </w14:textFill>
        </w:rPr>
        <w:t>体系核查工作应当严格遵守法律法规、核查纪律，保守国家秘密和被检查单位的秘密，遵守廉政相关要求。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hint="eastAsia" w:ascii="Times New Roman" w:hAnsi="Times New Roman" w:eastAsia="仿宋" w:cs="Times New Roman"/>
          <w:b/>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本程序自公布之日起施行。</w:t>
      </w:r>
    </w:p>
    <w:sectPr>
      <w:headerReference r:id="rId3" w:type="first"/>
      <w:footerReference r:id="rId6" w:type="first"/>
      <w:footerReference r:id="rId4" w:type="default"/>
      <w:footerReference r:id="rId5" w:type="even"/>
      <w:pgSz w:w="11906" w:h="16838"/>
      <w:pgMar w:top="1440" w:right="1474" w:bottom="1440"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- 45 -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- 45 -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- 44 -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ODk2Y2ExYjYwNWE2NDUwYTI0OTVlNDA3ZDZiODAifQ=="/>
  </w:docVars>
  <w:rsids>
    <w:rsidRoot w:val="1DAC4621"/>
    <w:rsid w:val="000F49AA"/>
    <w:rsid w:val="00206EE8"/>
    <w:rsid w:val="002D3556"/>
    <w:rsid w:val="00300292"/>
    <w:rsid w:val="00320D6C"/>
    <w:rsid w:val="003607D8"/>
    <w:rsid w:val="00360E1F"/>
    <w:rsid w:val="00423116"/>
    <w:rsid w:val="00453AB8"/>
    <w:rsid w:val="005054FD"/>
    <w:rsid w:val="005F78EA"/>
    <w:rsid w:val="00672764"/>
    <w:rsid w:val="007D5D26"/>
    <w:rsid w:val="00917DFE"/>
    <w:rsid w:val="00B5424C"/>
    <w:rsid w:val="00BC03C7"/>
    <w:rsid w:val="00F2694E"/>
    <w:rsid w:val="013869B3"/>
    <w:rsid w:val="02C66C6A"/>
    <w:rsid w:val="031E6043"/>
    <w:rsid w:val="0403183E"/>
    <w:rsid w:val="048D7C18"/>
    <w:rsid w:val="04AE6FC8"/>
    <w:rsid w:val="073434DB"/>
    <w:rsid w:val="081C449F"/>
    <w:rsid w:val="08EC6333"/>
    <w:rsid w:val="08FB3382"/>
    <w:rsid w:val="097F33D3"/>
    <w:rsid w:val="0AEC3530"/>
    <w:rsid w:val="0AFD62FB"/>
    <w:rsid w:val="0B9412F6"/>
    <w:rsid w:val="0C4C4931"/>
    <w:rsid w:val="0E2F6C28"/>
    <w:rsid w:val="0ED16912"/>
    <w:rsid w:val="0ED53A3B"/>
    <w:rsid w:val="1028486A"/>
    <w:rsid w:val="111819B3"/>
    <w:rsid w:val="12B45EAD"/>
    <w:rsid w:val="13C66152"/>
    <w:rsid w:val="146365D3"/>
    <w:rsid w:val="14D01C93"/>
    <w:rsid w:val="153C6AF4"/>
    <w:rsid w:val="154404D7"/>
    <w:rsid w:val="15514447"/>
    <w:rsid w:val="15872E74"/>
    <w:rsid w:val="15BF20F0"/>
    <w:rsid w:val="160E5557"/>
    <w:rsid w:val="16566526"/>
    <w:rsid w:val="168072BB"/>
    <w:rsid w:val="17527320"/>
    <w:rsid w:val="17A74E5B"/>
    <w:rsid w:val="1804712F"/>
    <w:rsid w:val="19774A84"/>
    <w:rsid w:val="1A5C4517"/>
    <w:rsid w:val="1BA71357"/>
    <w:rsid w:val="1DAC4621"/>
    <w:rsid w:val="1E581637"/>
    <w:rsid w:val="21A72BC0"/>
    <w:rsid w:val="22357D8B"/>
    <w:rsid w:val="239A542B"/>
    <w:rsid w:val="24724CC6"/>
    <w:rsid w:val="24D35B05"/>
    <w:rsid w:val="25533FB6"/>
    <w:rsid w:val="28453ABF"/>
    <w:rsid w:val="29E5241F"/>
    <w:rsid w:val="2CC84F9A"/>
    <w:rsid w:val="2EB12B3F"/>
    <w:rsid w:val="2EE73446"/>
    <w:rsid w:val="2FE62F3A"/>
    <w:rsid w:val="30D36A72"/>
    <w:rsid w:val="31217DAC"/>
    <w:rsid w:val="313D22B7"/>
    <w:rsid w:val="31B20EEF"/>
    <w:rsid w:val="31E54280"/>
    <w:rsid w:val="329E7E60"/>
    <w:rsid w:val="331C3031"/>
    <w:rsid w:val="33A41CA9"/>
    <w:rsid w:val="33FB5F3D"/>
    <w:rsid w:val="346A4A15"/>
    <w:rsid w:val="348A4481"/>
    <w:rsid w:val="34CB6C03"/>
    <w:rsid w:val="3602676E"/>
    <w:rsid w:val="37385B2E"/>
    <w:rsid w:val="38182D07"/>
    <w:rsid w:val="38233AB3"/>
    <w:rsid w:val="38EA6134"/>
    <w:rsid w:val="39380D5B"/>
    <w:rsid w:val="3A5228E6"/>
    <w:rsid w:val="3A5D7AAF"/>
    <w:rsid w:val="3A940C2C"/>
    <w:rsid w:val="3C021186"/>
    <w:rsid w:val="3C2E526C"/>
    <w:rsid w:val="3C7C3877"/>
    <w:rsid w:val="3D220CC4"/>
    <w:rsid w:val="3E15295F"/>
    <w:rsid w:val="3E7F6C56"/>
    <w:rsid w:val="3F5B7D2E"/>
    <w:rsid w:val="3F67CA84"/>
    <w:rsid w:val="40101F06"/>
    <w:rsid w:val="41BE0570"/>
    <w:rsid w:val="41FC2B56"/>
    <w:rsid w:val="42577756"/>
    <w:rsid w:val="42C21CB9"/>
    <w:rsid w:val="43BB0426"/>
    <w:rsid w:val="45811B32"/>
    <w:rsid w:val="45E72DEB"/>
    <w:rsid w:val="46D14646"/>
    <w:rsid w:val="46DB68AA"/>
    <w:rsid w:val="47A54FEA"/>
    <w:rsid w:val="4820615E"/>
    <w:rsid w:val="49C512D7"/>
    <w:rsid w:val="49CB24CE"/>
    <w:rsid w:val="4A864C02"/>
    <w:rsid w:val="4B0B204A"/>
    <w:rsid w:val="4BC15AC4"/>
    <w:rsid w:val="4D7162E0"/>
    <w:rsid w:val="4E13128B"/>
    <w:rsid w:val="4F697396"/>
    <w:rsid w:val="4FD403CB"/>
    <w:rsid w:val="4FFA0AF3"/>
    <w:rsid w:val="50342D3B"/>
    <w:rsid w:val="504D30B2"/>
    <w:rsid w:val="51E721DD"/>
    <w:rsid w:val="52BE621D"/>
    <w:rsid w:val="52C00413"/>
    <w:rsid w:val="5359073D"/>
    <w:rsid w:val="56320366"/>
    <w:rsid w:val="56EA2D40"/>
    <w:rsid w:val="570F7A5E"/>
    <w:rsid w:val="57C66122"/>
    <w:rsid w:val="58101410"/>
    <w:rsid w:val="5899424A"/>
    <w:rsid w:val="59CB3B72"/>
    <w:rsid w:val="5A476162"/>
    <w:rsid w:val="5A702BDF"/>
    <w:rsid w:val="5B1B5976"/>
    <w:rsid w:val="5BD95CE0"/>
    <w:rsid w:val="5C8F41FB"/>
    <w:rsid w:val="5CAD6167"/>
    <w:rsid w:val="62236D01"/>
    <w:rsid w:val="629025A5"/>
    <w:rsid w:val="62C23A13"/>
    <w:rsid w:val="63B54A74"/>
    <w:rsid w:val="63F414FD"/>
    <w:rsid w:val="64095D53"/>
    <w:rsid w:val="64D35ACD"/>
    <w:rsid w:val="663F24F8"/>
    <w:rsid w:val="6786409F"/>
    <w:rsid w:val="68F04555"/>
    <w:rsid w:val="6A567842"/>
    <w:rsid w:val="6A9D45A9"/>
    <w:rsid w:val="6BE43C2A"/>
    <w:rsid w:val="6C73231D"/>
    <w:rsid w:val="6D0A6F0F"/>
    <w:rsid w:val="6D594F21"/>
    <w:rsid w:val="6D963F4E"/>
    <w:rsid w:val="6F244DCE"/>
    <w:rsid w:val="6F810C35"/>
    <w:rsid w:val="705C6FB0"/>
    <w:rsid w:val="70754704"/>
    <w:rsid w:val="70CF01F0"/>
    <w:rsid w:val="70FA529E"/>
    <w:rsid w:val="70FE67F1"/>
    <w:rsid w:val="7113371B"/>
    <w:rsid w:val="72DB5586"/>
    <w:rsid w:val="72DDC444"/>
    <w:rsid w:val="73325C16"/>
    <w:rsid w:val="734B247B"/>
    <w:rsid w:val="73B521DF"/>
    <w:rsid w:val="73DFFE47"/>
    <w:rsid w:val="757E015B"/>
    <w:rsid w:val="76FA0B1D"/>
    <w:rsid w:val="77962862"/>
    <w:rsid w:val="77FF8D61"/>
    <w:rsid w:val="78A90120"/>
    <w:rsid w:val="78C275F6"/>
    <w:rsid w:val="79825470"/>
    <w:rsid w:val="7AF13570"/>
    <w:rsid w:val="7B5B0313"/>
    <w:rsid w:val="7BF3226F"/>
    <w:rsid w:val="7C33608D"/>
    <w:rsid w:val="7C3A5F1C"/>
    <w:rsid w:val="7C8C23E7"/>
    <w:rsid w:val="7DA30955"/>
    <w:rsid w:val="7DAD00FE"/>
    <w:rsid w:val="7DAF848B"/>
    <w:rsid w:val="7DBD72C5"/>
    <w:rsid w:val="7DDD551F"/>
    <w:rsid w:val="7DE7911E"/>
    <w:rsid w:val="7E6100A8"/>
    <w:rsid w:val="7EA325A3"/>
    <w:rsid w:val="7F86ECE0"/>
    <w:rsid w:val="7F9BE0C6"/>
    <w:rsid w:val="7FBB66FA"/>
    <w:rsid w:val="9AFBCE26"/>
    <w:rsid w:val="BA7B23C6"/>
    <w:rsid w:val="D7AF58AA"/>
    <w:rsid w:val="DA767148"/>
    <w:rsid w:val="F47D7B6A"/>
    <w:rsid w:val="F60E9EE7"/>
    <w:rsid w:val="FDFD2B13"/>
    <w:rsid w:val="FFE319F2"/>
    <w:rsid w:val="FFF31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annotation text"/>
    <w:basedOn w:val="1"/>
    <w:qFormat/>
    <w:uiPriority w:val="0"/>
    <w:pPr>
      <w:jc w:val="left"/>
    </w:p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100" w:beforeAutospacing="1" w:after="100" w:afterAutospacing="1"/>
      <w:jc w:val="left"/>
    </w:pPr>
    <w:rPr>
      <w:kern w:val="0"/>
      <w:sz w:val="24"/>
      <w:szCs w:val="20"/>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Body Text1"/>
    <w:basedOn w:val="1"/>
    <w:qFormat/>
    <w:uiPriority w:val="0"/>
    <w:pPr>
      <w:ind w:left="134"/>
    </w:pPr>
    <w:rPr>
      <w:rFonts w:ascii="宋体" w:hAnsi="宋体" w:cs="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3234</Words>
  <Characters>18434</Characters>
  <Lines>153</Lines>
  <Paragraphs>43</Paragraphs>
  <TotalTime>7</TotalTime>
  <ScaleCrop>false</ScaleCrop>
  <LinksUpToDate>false</LinksUpToDate>
  <CharactersWithSpaces>21625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2016-07-18T10:53:00Z</dcterms:created>
  <dc:creator>评审中心办公室_pszxbgs</dc:creator>
  <cp:lastModifiedBy>蔡云龙</cp:lastModifiedBy>
  <cp:lastPrinted>2022-08-13T01:28:00Z</cp:lastPrinted>
  <dcterms:modified xsi:type="dcterms:W3CDTF">2022-11-11T10:32:24Z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F209EB41BFCB4353A88DABBE65D11204</vt:lpwstr>
  </property>
  <property fmtid="{D5CDD505-2E9C-101B-9397-08002B2CF9AE}" pid="4" name="commondata">
    <vt:lpwstr>eyJoZGlkIjoiZDNkODk2Y2ExYjYwNWE2NDUwYTI0OTVlNDA3ZDZiODAifQ==</vt:lpwstr>
  </property>
</Properties>
</file>