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 w:line="1440" w:lineRule="exact"/>
        <w:textAlignment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273" w:line="1556" w:lineRule="exact"/>
        <w:ind w:left="821"/>
        <w:rPr>
          <w:rFonts w:ascii="SimSun" w:hAnsi="SimSun" w:eastAsia="SimSun" w:cs="SimSun"/>
          <w:sz w:val="84"/>
          <w:szCs w:val="84"/>
        </w:rPr>
      </w:pPr>
      <w:r>
        <w:rPr>
          <w:rFonts w:ascii="SimSun" w:hAnsi="SimSun" w:eastAsia="SimSun" w:cs="SimSun"/>
          <w:b/>
          <w:bCs/>
          <w:color w:val="DA0700"/>
          <w:spacing w:val="-59"/>
          <w:position w:val="52"/>
          <w:sz w:val="84"/>
          <w:szCs w:val="84"/>
        </w:rPr>
        <w:t>国家药品监督管理局</w:t>
      </w:r>
    </w:p>
    <w:p>
      <w:pPr>
        <w:spacing w:before="4" w:line="217" w:lineRule="auto"/>
        <w:ind w:left="2803"/>
        <w:rPr>
          <w:rFonts w:ascii="SimSun" w:hAnsi="SimSun" w:eastAsia="SimSun" w:cs="SimSun"/>
          <w:sz w:val="93"/>
          <w:szCs w:val="93"/>
        </w:rPr>
      </w:pPr>
      <w:r>
        <w:rPr>
          <w:rFonts w:ascii="SimSun" w:hAnsi="SimSun" w:eastAsia="SimSun" w:cs="SimSun"/>
          <w:b/>
          <w:bCs/>
          <w:color w:val="DA0700"/>
          <w:spacing w:val="-43"/>
          <w:sz w:val="93"/>
          <w:szCs w:val="93"/>
        </w:rPr>
        <w:t>公</w:t>
      </w:r>
      <w:r>
        <w:rPr>
          <w:rFonts w:ascii="SimSun" w:hAnsi="SimSun" w:eastAsia="SimSun" w:cs="SimSun"/>
          <w:color w:val="DA0700"/>
          <w:spacing w:val="187"/>
          <w:sz w:val="93"/>
          <w:szCs w:val="93"/>
        </w:rPr>
        <w:t xml:space="preserve">  </w:t>
      </w:r>
      <w:r>
        <w:rPr>
          <w:rFonts w:ascii="SimSun" w:hAnsi="SimSun" w:eastAsia="SimSun" w:cs="SimSun"/>
          <w:b/>
          <w:bCs/>
          <w:color w:val="DA0700"/>
          <w:spacing w:val="-43"/>
          <w:sz w:val="93"/>
          <w:szCs w:val="93"/>
        </w:rPr>
        <w:t>告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07" w:line="219" w:lineRule="auto"/>
        <w:ind w:left="312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30"/>
          <w:sz w:val="33"/>
          <w:szCs w:val="33"/>
        </w:rPr>
        <w:t>2022年第113号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47" w:line="928" w:lineRule="exact"/>
        <w:ind w:left="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-15"/>
          <w:position w:val="36"/>
          <w:sz w:val="45"/>
          <w:szCs w:val="45"/>
        </w:rPr>
        <w:t>国家药监局关于发布《药品经营质量管理规范</w:t>
      </w:r>
    </w:p>
    <w:p>
      <w:pPr>
        <w:spacing w:before="2" w:line="217" w:lineRule="auto"/>
        <w:ind w:left="50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2"/>
          <w:sz w:val="45"/>
          <w:szCs w:val="45"/>
        </w:rPr>
        <w:t>附录6:药品零售配送质量管理》的公告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7" w:line="397" w:lineRule="auto"/>
        <w:ind w:right="1175" w:firstLine="690"/>
        <w:jc w:val="both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-14"/>
          <w:sz w:val="33"/>
          <w:szCs w:val="33"/>
        </w:rPr>
        <w:t>为加强药品经营监督管理，进一步规范药品零售配送行为，</w:t>
      </w:r>
      <w:r>
        <w:rPr>
          <w:rFonts w:ascii="SimSun" w:hAnsi="SimSun" w:eastAsia="SimSun" w:cs="SimSun"/>
          <w:spacing w:val="7"/>
          <w:sz w:val="33"/>
          <w:szCs w:val="33"/>
        </w:rPr>
        <w:t xml:space="preserve"> </w:t>
      </w:r>
      <w:r>
        <w:rPr>
          <w:rFonts w:ascii="SimSun" w:hAnsi="SimSun" w:eastAsia="SimSun" w:cs="SimSun"/>
          <w:spacing w:val="-15"/>
          <w:sz w:val="33"/>
          <w:szCs w:val="33"/>
        </w:rPr>
        <w:t>保障零售配送环节药品质量安全，根据《药品网络销售监督管理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pacing w:val="-20"/>
          <w:sz w:val="33"/>
          <w:szCs w:val="33"/>
        </w:rPr>
        <w:t>办法》和《药品经营质量管理规范》,国家药监局组织制定了《</w:t>
      </w:r>
      <w:r>
        <w:rPr>
          <w:rFonts w:ascii="SimSun" w:hAnsi="SimSun" w:eastAsia="SimSun" w:cs="SimSun"/>
          <w:spacing w:val="-21"/>
          <w:sz w:val="33"/>
          <w:szCs w:val="33"/>
        </w:rPr>
        <w:t>药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pacing w:val="3"/>
          <w:sz w:val="33"/>
          <w:szCs w:val="33"/>
        </w:rPr>
        <w:t>品经营质量管理规范附录6:药品零售配送质量管理</w:t>
      </w:r>
      <w:r>
        <w:rPr>
          <w:rFonts w:ascii="SimSun" w:hAnsi="SimSun" w:eastAsia="SimSun" w:cs="SimSun"/>
          <w:spacing w:val="2"/>
          <w:sz w:val="33"/>
          <w:szCs w:val="33"/>
        </w:rPr>
        <w:t>》,现予发</w:t>
      </w:r>
    </w:p>
    <w:p>
      <w:pPr>
        <w:spacing w:before="1" w:line="218" w:lineRule="auto"/>
        <w:ind w:left="6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16"/>
          <w:sz w:val="33"/>
          <w:szCs w:val="33"/>
        </w:rPr>
        <w:t>布，自2023年1月1日起施行。</w:t>
      </w:r>
    </w:p>
    <w:p>
      <w:pPr>
        <w:spacing w:before="298" w:line="218" w:lineRule="auto"/>
        <w:ind w:left="690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pacing w:val="-19"/>
          <w:sz w:val="33"/>
          <w:szCs w:val="33"/>
        </w:rPr>
        <w:t>特此公告。</w:t>
      </w:r>
    </w:p>
    <w:p>
      <w:pPr>
        <w:sectPr>
          <w:headerReference r:id="rId5" w:type="default"/>
          <w:footerReference r:id="rId6" w:type="default"/>
          <w:pgSz w:w="11910" w:h="16850"/>
          <w:pgMar w:top="1" w:right="209" w:bottom="1454" w:left="1609" w:header="0" w:footer="1165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4" w:line="671" w:lineRule="exact"/>
        <w:ind w:left="359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pacing w:val="21"/>
          <w:position w:val="26"/>
          <w:sz w:val="32"/>
          <w:szCs w:val="32"/>
        </w:rPr>
        <w:t>附件：药品经营质量管理规范附录6:药品零售配</w:t>
      </w:r>
      <w:r>
        <w:rPr>
          <w:rFonts w:ascii="SimSun" w:hAnsi="SimSun" w:eastAsia="SimSun" w:cs="SimSun"/>
          <w:spacing w:val="20"/>
          <w:position w:val="26"/>
          <w:sz w:val="32"/>
          <w:szCs w:val="32"/>
        </w:rPr>
        <w:t>送质量</w:t>
      </w:r>
    </w:p>
    <w:p>
      <w:pPr>
        <w:spacing w:line="219" w:lineRule="auto"/>
        <w:ind w:left="1289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pacing w:val="10"/>
          <w:sz w:val="32"/>
          <w:szCs w:val="32"/>
        </w:rPr>
        <w:t>管理</w:t>
      </w:r>
    </w:p>
    <w:p>
      <w:pPr>
        <w:spacing w:before="176" w:line="2571" w:lineRule="exact"/>
        <w:ind w:firstLine="4739"/>
        <w:textAlignment w:val="center"/>
      </w:pPr>
      <w:r>
        <w:drawing>
          <wp:inline distT="0" distB="0" distL="0" distR="0">
            <wp:extent cx="1663065" cy="16319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63675" cy="16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104" w:line="220" w:lineRule="auto"/>
        <w:ind w:left="519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pacing w:val="10"/>
          <w:sz w:val="32"/>
          <w:szCs w:val="32"/>
        </w:rPr>
        <w:t>(公开属性：主动公开)</w:t>
      </w:r>
    </w:p>
    <w:p>
      <w:pPr>
        <w:sectPr>
          <w:headerReference r:id="rId7" w:type="default"/>
          <w:footerReference r:id="rId8" w:type="default"/>
          <w:pgSz w:w="11910" w:h="16850"/>
          <w:pgMar w:top="400" w:right="1637" w:bottom="1293" w:left="1710" w:header="0" w:footer="1005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0" w:line="224" w:lineRule="auto"/>
        <w:ind w:left="4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4"/>
          <w:sz w:val="31"/>
          <w:szCs w:val="31"/>
        </w:rPr>
        <w:t>附件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43" w:line="219" w:lineRule="auto"/>
        <w:ind w:left="220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-7"/>
          <w:sz w:val="44"/>
          <w:szCs w:val="44"/>
        </w:rPr>
        <w:t>药品经营质量管理规范</w:t>
      </w:r>
    </w:p>
    <w:p>
      <w:pPr>
        <w:spacing w:before="34" w:line="219" w:lineRule="auto"/>
        <w:ind w:left="138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17"/>
          <w:sz w:val="44"/>
          <w:szCs w:val="44"/>
        </w:rPr>
        <w:t>附录6:药品零售配送质量管理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47" w:lineRule="auto"/>
        <w:ind w:right="172" w:firstLine="664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7"/>
          <w:sz w:val="31"/>
          <w:szCs w:val="31"/>
        </w:rPr>
        <w:t>第一条</w:t>
      </w:r>
      <w:r>
        <w:rPr>
          <w:rFonts w:ascii="SimSun" w:hAnsi="SimSun" w:eastAsia="SimSun" w:cs="SimSun"/>
          <w:spacing w:val="13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7"/>
          <w:sz w:val="31"/>
          <w:szCs w:val="31"/>
        </w:rPr>
        <w:t>本附录适用于《药品经营质量管理规范》(以下简</w:t>
      </w:r>
      <w:r>
        <w:rPr>
          <w:rFonts w:ascii="SimSun" w:hAnsi="SimSun" w:eastAsia="SimSun" w:cs="SimSun"/>
          <w:spacing w:val="1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20"/>
          <w:sz w:val="31"/>
          <w:szCs w:val="31"/>
        </w:rPr>
        <w:t>称《规范》)中，药品零售过程(含通过网络零售)所涉及的</w:t>
      </w:r>
      <w:r>
        <w:rPr>
          <w:rFonts w:ascii="SimSun" w:hAnsi="SimSun" w:eastAsia="SimSun" w:cs="SimSun"/>
          <w:spacing w:val="19"/>
          <w:sz w:val="31"/>
          <w:szCs w:val="31"/>
        </w:rPr>
        <w:t>药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品配送行为的质量管理。</w:t>
      </w:r>
    </w:p>
    <w:p>
      <w:pPr>
        <w:spacing w:before="207" w:line="347" w:lineRule="auto"/>
        <w:ind w:right="162" w:firstLine="664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3"/>
          <w:sz w:val="31"/>
          <w:szCs w:val="31"/>
        </w:rPr>
        <w:t>第二条</w:t>
      </w:r>
      <w:r>
        <w:rPr>
          <w:rFonts w:ascii="SimSun" w:hAnsi="SimSun" w:eastAsia="SimSun" w:cs="SimSun"/>
          <w:spacing w:val="14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3"/>
          <w:sz w:val="31"/>
          <w:szCs w:val="31"/>
        </w:rPr>
        <w:t>药品零售配送(以下简称药品配送)是指根据消费</w:t>
      </w:r>
      <w:r>
        <w:rPr>
          <w:rFonts w:ascii="SimSun" w:hAnsi="SimSun" w:eastAsia="SimSun" w:cs="SimSun"/>
          <w:spacing w:val="1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者购药需求，对药品进行拣选、复核、包装、封签、发货、运输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6"/>
          <w:sz w:val="31"/>
          <w:szCs w:val="31"/>
        </w:rPr>
        <w:t>等作业，将药品送达消费者指定地点并签收的物流活动。</w:t>
      </w:r>
    </w:p>
    <w:p>
      <w:pPr>
        <w:spacing w:before="206" w:line="347" w:lineRule="auto"/>
        <w:ind w:right="183" w:firstLine="664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2"/>
          <w:sz w:val="31"/>
          <w:szCs w:val="31"/>
        </w:rPr>
        <w:t>第三条</w:t>
      </w:r>
      <w:r>
        <w:rPr>
          <w:rFonts w:ascii="SimSun" w:hAnsi="SimSun" w:eastAsia="SimSun" w:cs="SimSun"/>
          <w:spacing w:val="1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2"/>
          <w:sz w:val="31"/>
          <w:szCs w:val="31"/>
        </w:rPr>
        <w:t>药品零售企业应当在药品配送过程中采取有效的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3"/>
          <w:sz w:val="31"/>
          <w:szCs w:val="31"/>
        </w:rPr>
        <w:t>质量控制措施，并满足药品信息化追溯要求，实现药品配送全过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程质量可控、可追溯。</w:t>
      </w:r>
    </w:p>
    <w:p>
      <w:pPr>
        <w:spacing w:before="209" w:line="346" w:lineRule="auto"/>
        <w:ind w:right="170" w:firstLine="664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2"/>
          <w:sz w:val="31"/>
          <w:szCs w:val="31"/>
        </w:rPr>
        <w:t>第四条</w:t>
      </w:r>
      <w:r>
        <w:rPr>
          <w:rFonts w:ascii="SimSun" w:hAnsi="SimSun" w:eastAsia="SimSun" w:cs="SimSun"/>
          <w:spacing w:val="14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2"/>
          <w:sz w:val="31"/>
          <w:szCs w:val="31"/>
        </w:rPr>
        <w:t>药品零售企业应当配备专职或兼职人员负责药品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15"/>
          <w:sz w:val="31"/>
          <w:szCs w:val="31"/>
        </w:rPr>
        <w:t>配送质量管理，相关人员应当熟悉有关药品流通管</w:t>
      </w:r>
      <w:r>
        <w:rPr>
          <w:rFonts w:ascii="SimSun" w:hAnsi="SimSun" w:eastAsia="SimSun" w:cs="SimSun"/>
          <w:spacing w:val="14"/>
          <w:sz w:val="31"/>
          <w:szCs w:val="31"/>
        </w:rPr>
        <w:t>理的法律法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规，在药品配送质量管理工作中具备独立正确</w:t>
      </w:r>
      <w:r>
        <w:rPr>
          <w:rFonts w:ascii="SimSun" w:hAnsi="SimSun" w:eastAsia="SimSun" w:cs="SimSun"/>
          <w:spacing w:val="3"/>
          <w:sz w:val="31"/>
          <w:szCs w:val="31"/>
        </w:rPr>
        <w:t>判断和保障实施的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16"/>
          <w:sz w:val="31"/>
          <w:szCs w:val="31"/>
        </w:rPr>
        <w:t>能力。</w:t>
      </w:r>
    </w:p>
    <w:p>
      <w:pPr>
        <w:spacing w:before="211" w:line="346" w:lineRule="auto"/>
        <w:ind w:firstLine="660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3"/>
          <w:sz w:val="31"/>
          <w:szCs w:val="31"/>
        </w:rPr>
        <w:t>从事冷藏、冷冻药品配送等工作的人员，还应当按照《规范》</w:t>
      </w:r>
      <w:r>
        <w:rPr>
          <w:rFonts w:ascii="SimSun" w:hAnsi="SimSun" w:eastAsia="SimSun" w:cs="SimSun"/>
          <w:spacing w:val="5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3"/>
          <w:sz w:val="31"/>
          <w:szCs w:val="31"/>
        </w:rPr>
        <w:t>的相关规定，接受相关法律法规和专业知识培训并经考核合</w:t>
      </w:r>
      <w:r>
        <w:rPr>
          <w:rFonts w:ascii="SimSun" w:hAnsi="SimSun" w:eastAsia="SimSun" w:cs="SimSun"/>
          <w:spacing w:val="2"/>
          <w:sz w:val="31"/>
          <w:szCs w:val="31"/>
        </w:rPr>
        <w:t>格后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4"/>
          <w:sz w:val="31"/>
          <w:szCs w:val="31"/>
        </w:rPr>
        <w:t>方可上岗。</w:t>
      </w:r>
    </w:p>
    <w:p>
      <w:pPr>
        <w:spacing w:before="226" w:line="219" w:lineRule="auto"/>
        <w:ind w:left="66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-1"/>
          <w:sz w:val="31"/>
          <w:szCs w:val="31"/>
        </w:rPr>
        <w:t>第五条</w:t>
      </w:r>
      <w:r>
        <w:rPr>
          <w:rFonts w:ascii="SimSun" w:hAnsi="SimSun" w:eastAsia="SimSun" w:cs="SimSun"/>
          <w:spacing w:val="27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-1"/>
          <w:sz w:val="31"/>
          <w:szCs w:val="31"/>
        </w:rPr>
        <w:t>药品零售企业应当加强员工个人卫生管理，对员工</w:t>
      </w:r>
    </w:p>
    <w:p>
      <w:pPr>
        <w:sectPr>
          <w:headerReference r:id="rId9" w:type="default"/>
          <w:footerReference r:id="rId10" w:type="default"/>
          <w:pgSz w:w="11910" w:h="16850"/>
          <w:pgMar w:top="400" w:right="1424" w:bottom="1487" w:left="1529" w:header="0" w:footer="1179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每年进行健康体检。</w:t>
      </w:r>
    </w:p>
    <w:p>
      <w:pPr>
        <w:spacing w:before="218" w:line="347" w:lineRule="auto"/>
        <w:ind w:firstLine="66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"/>
          <w:sz w:val="31"/>
          <w:szCs w:val="31"/>
        </w:rPr>
        <w:t>第六条</w:t>
      </w:r>
      <w:r>
        <w:rPr>
          <w:rFonts w:ascii="SimSun" w:hAnsi="SimSun" w:eastAsia="SimSun" w:cs="SimSun"/>
          <w:spacing w:val="15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"/>
          <w:sz w:val="31"/>
          <w:szCs w:val="31"/>
        </w:rPr>
        <w:t>药品零售企业应当按照《规范》的有关规定，制定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9"/>
          <w:sz w:val="31"/>
          <w:szCs w:val="31"/>
        </w:rPr>
        <w:t>药品配送质量管理制度，包括人员管理、岗位</w:t>
      </w:r>
      <w:r>
        <w:rPr>
          <w:rFonts w:ascii="SimSun" w:hAnsi="SimSun" w:eastAsia="SimSun" w:cs="SimSun"/>
          <w:spacing w:val="8"/>
          <w:sz w:val="31"/>
          <w:szCs w:val="31"/>
        </w:rPr>
        <w:t>职责、设施设备、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6"/>
          <w:sz w:val="31"/>
          <w:szCs w:val="31"/>
        </w:rPr>
        <w:t>操作规程、记录和凭证、应急管理等内容，并定期审核、及时修</w:t>
      </w:r>
    </w:p>
    <w:p>
      <w:pPr>
        <w:spacing w:line="22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9"/>
          <w:sz w:val="31"/>
          <w:szCs w:val="31"/>
        </w:rPr>
        <w:t>订。</w:t>
      </w:r>
    </w:p>
    <w:p>
      <w:pPr>
        <w:spacing w:before="197" w:line="346" w:lineRule="auto"/>
        <w:ind w:right="102" w:firstLine="66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2"/>
          <w:sz w:val="31"/>
          <w:szCs w:val="31"/>
        </w:rPr>
        <w:t>第七条</w:t>
      </w:r>
      <w:r>
        <w:rPr>
          <w:rFonts w:ascii="SimSun" w:hAnsi="SimSun" w:eastAsia="SimSun" w:cs="SimSun"/>
          <w:spacing w:val="51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2"/>
          <w:sz w:val="31"/>
          <w:szCs w:val="31"/>
        </w:rPr>
        <w:t>药品零售企业应当建立药品配送质量评审管理制</w:t>
      </w:r>
      <w:r>
        <w:rPr>
          <w:rFonts w:ascii="SimSun" w:hAnsi="SimSun" w:eastAsia="SimSun" w:cs="SimSun"/>
          <w:spacing w:val="1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度，每年至少开展一次药品配送环节质量管理运行情况内审，将</w:t>
      </w:r>
      <w:r>
        <w:rPr>
          <w:rFonts w:ascii="SimSun" w:hAnsi="SimSun" w:eastAsia="SimSun" w:cs="SimSun"/>
          <w:spacing w:val="11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17"/>
          <w:sz w:val="31"/>
          <w:szCs w:val="31"/>
        </w:rPr>
        <w:t>本企业日常收集和配送环节反馈的质量问题及</w:t>
      </w:r>
      <w:r>
        <w:rPr>
          <w:rFonts w:ascii="SimSun" w:hAnsi="SimSun" w:eastAsia="SimSun" w:cs="SimSun"/>
          <w:spacing w:val="16"/>
          <w:sz w:val="31"/>
          <w:szCs w:val="31"/>
        </w:rPr>
        <w:t>意见作为实施评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5"/>
          <w:sz w:val="31"/>
          <w:szCs w:val="31"/>
        </w:rPr>
        <w:t>审的相关依据，并根据评审结果及时完善相关体系文</w:t>
      </w:r>
      <w:r>
        <w:rPr>
          <w:rFonts w:ascii="SimSun" w:hAnsi="SimSun" w:eastAsia="SimSun" w:cs="SimSun"/>
          <w:spacing w:val="4"/>
          <w:sz w:val="31"/>
          <w:szCs w:val="31"/>
        </w:rPr>
        <w:t>件，培训相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6"/>
          <w:sz w:val="31"/>
          <w:szCs w:val="31"/>
        </w:rPr>
        <w:t>关岗位人员，提升药品配送质量管理水平。</w:t>
      </w:r>
    </w:p>
    <w:p>
      <w:pPr>
        <w:spacing w:before="207" w:line="347" w:lineRule="auto"/>
        <w:ind w:right="29" w:firstLine="66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5"/>
          <w:sz w:val="31"/>
          <w:szCs w:val="31"/>
        </w:rPr>
        <w:t>第八条</w:t>
      </w:r>
      <w:r>
        <w:rPr>
          <w:rFonts w:ascii="SimSun" w:hAnsi="SimSun" w:eastAsia="SimSun" w:cs="SimSun"/>
          <w:spacing w:val="17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5"/>
          <w:sz w:val="31"/>
          <w:szCs w:val="31"/>
        </w:rPr>
        <w:t>在药品配送过程中，药品零售企业应当根据距离、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路况等因素评估和确定送达期限；根据业务类型、范围和送达时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6"/>
          <w:sz w:val="31"/>
          <w:szCs w:val="31"/>
        </w:rPr>
        <w:t>限等配备和选择合适的配送工具、配送设备和包装。</w:t>
      </w:r>
    </w:p>
    <w:p>
      <w:pPr>
        <w:spacing w:before="212" w:line="571" w:lineRule="exact"/>
        <w:ind w:left="65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position w:val="19"/>
          <w:sz w:val="31"/>
          <w:szCs w:val="31"/>
        </w:rPr>
        <w:t>冷藏、冷冻药品的配送过程应当严格遵守《规范》的有关规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4"/>
          <w:sz w:val="31"/>
          <w:szCs w:val="31"/>
        </w:rPr>
        <w:t>定，防止脱离冷链。</w:t>
      </w:r>
    </w:p>
    <w:p>
      <w:pPr>
        <w:spacing w:before="215" w:line="219" w:lineRule="auto"/>
        <w:ind w:left="66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5"/>
          <w:sz w:val="31"/>
          <w:szCs w:val="31"/>
        </w:rPr>
        <w:t>第九条</w:t>
      </w:r>
      <w:r>
        <w:rPr>
          <w:rFonts w:ascii="SimSun" w:hAnsi="SimSun" w:eastAsia="SimSun" w:cs="SimSun"/>
          <w:spacing w:val="1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5"/>
          <w:sz w:val="31"/>
          <w:szCs w:val="31"/>
        </w:rPr>
        <w:t>使用车辆进行药品配送的，应当具备以下条件</w:t>
      </w:r>
      <w:r>
        <w:rPr>
          <w:rFonts w:ascii="SimSun" w:hAnsi="SimSun" w:eastAsia="SimSun" w:cs="SimSun"/>
          <w:spacing w:val="4"/>
          <w:sz w:val="31"/>
          <w:szCs w:val="31"/>
        </w:rPr>
        <w:t>：</w:t>
      </w:r>
    </w:p>
    <w:p>
      <w:pPr>
        <w:spacing w:before="215" w:line="219" w:lineRule="auto"/>
        <w:ind w:left="78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6"/>
          <w:sz w:val="31"/>
          <w:szCs w:val="31"/>
        </w:rPr>
        <w:t>(一)为封闭式货物运输工具；</w:t>
      </w:r>
    </w:p>
    <w:p>
      <w:pPr>
        <w:spacing w:before="204" w:line="571" w:lineRule="exact"/>
        <w:ind w:left="78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position w:val="19"/>
          <w:sz w:val="31"/>
          <w:szCs w:val="31"/>
        </w:rPr>
        <w:t>(二)车厢内有放置药品的独立区域，并有物</w:t>
      </w:r>
      <w:r>
        <w:rPr>
          <w:rFonts w:ascii="SimSun" w:hAnsi="SimSun" w:eastAsia="SimSun" w:cs="SimSun"/>
          <w:spacing w:val="2"/>
          <w:position w:val="19"/>
          <w:sz w:val="31"/>
          <w:szCs w:val="31"/>
        </w:rPr>
        <w:t>理隔离的措施，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4"/>
          <w:sz w:val="31"/>
          <w:szCs w:val="31"/>
        </w:rPr>
        <w:t>以防止药品污染、混淆和差错的发生；</w:t>
      </w:r>
    </w:p>
    <w:p>
      <w:pPr>
        <w:spacing w:before="199" w:line="570" w:lineRule="exact"/>
        <w:ind w:left="78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position w:val="19"/>
          <w:sz w:val="31"/>
          <w:szCs w:val="31"/>
        </w:rPr>
        <w:t>(三)采取安全保障措施，以防止药品在配送过程中丢失或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"/>
          <w:sz w:val="31"/>
          <w:szCs w:val="31"/>
        </w:rPr>
        <w:t>被替换。</w:t>
      </w:r>
    </w:p>
    <w:p>
      <w:pPr>
        <w:spacing w:before="262" w:line="219" w:lineRule="auto"/>
        <w:ind w:left="65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专门配送冷藏、冷冻药品的车辆，应当符合《规范》有关冷</w:t>
      </w:r>
    </w:p>
    <w:p>
      <w:pPr>
        <w:sectPr>
          <w:footerReference r:id="rId11" w:type="default"/>
          <w:pgSz w:w="11910" w:h="16850"/>
          <w:pgMar w:top="400" w:right="1545" w:bottom="1299" w:left="1440" w:header="0" w:footer="1031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3"/>
          <w:sz w:val="31"/>
          <w:szCs w:val="31"/>
        </w:rPr>
        <w:t>藏车的要求。</w:t>
      </w:r>
    </w:p>
    <w:p>
      <w:pPr>
        <w:spacing w:before="197" w:line="219" w:lineRule="auto"/>
        <w:ind w:left="63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4"/>
          <w:sz w:val="31"/>
          <w:szCs w:val="31"/>
        </w:rPr>
        <w:t>第十条</w:t>
      </w:r>
      <w:r>
        <w:rPr>
          <w:rFonts w:ascii="SimSun" w:hAnsi="SimSun" w:eastAsia="SimSun" w:cs="SimSun"/>
          <w:spacing w:val="15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4"/>
          <w:sz w:val="31"/>
          <w:szCs w:val="31"/>
        </w:rPr>
        <w:t>使用配送箱进行药品配送的，应当具备以下条件</w:t>
      </w:r>
      <w:r>
        <w:rPr>
          <w:rFonts w:ascii="SimSun" w:hAnsi="SimSun" w:eastAsia="SimSun" w:cs="SimSun"/>
          <w:spacing w:val="3"/>
          <w:sz w:val="31"/>
          <w:szCs w:val="31"/>
        </w:rPr>
        <w:t>：</w:t>
      </w:r>
    </w:p>
    <w:p>
      <w:pPr>
        <w:spacing w:before="205" w:line="580" w:lineRule="exact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1"/>
          <w:position w:val="20"/>
          <w:sz w:val="31"/>
          <w:szCs w:val="31"/>
        </w:rPr>
        <w:t>(一)箱体采用吸水性低、透气性小、导热系数小具有良好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2"/>
          <w:sz w:val="31"/>
          <w:szCs w:val="31"/>
        </w:rPr>
        <w:t>保温性质的材料；</w:t>
      </w:r>
    </w:p>
    <w:p>
      <w:pPr>
        <w:spacing w:before="215" w:line="345" w:lineRule="auto"/>
        <w:ind w:right="111" w:firstLine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2"/>
          <w:sz w:val="31"/>
          <w:szCs w:val="31"/>
        </w:rPr>
        <w:t>(二)非药品(医疗器械、保健食品除外，下同)与药品混</w:t>
      </w:r>
      <w:r>
        <w:rPr>
          <w:rFonts w:ascii="SimSun" w:hAnsi="SimSun" w:eastAsia="SimSun" w:cs="SimSun"/>
          <w:spacing w:val="10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箱配送的，箱体内应对药品存放区域进行物理隔</w:t>
      </w:r>
      <w:r>
        <w:rPr>
          <w:rFonts w:ascii="SimSun" w:hAnsi="SimSun" w:eastAsia="SimSun" w:cs="SimSun"/>
          <w:spacing w:val="3"/>
          <w:sz w:val="31"/>
          <w:szCs w:val="31"/>
        </w:rPr>
        <w:t>离，确保药品与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2"/>
          <w:sz w:val="31"/>
          <w:szCs w:val="31"/>
        </w:rPr>
        <w:t>非药品分开存放；</w:t>
      </w:r>
    </w:p>
    <w:p>
      <w:pPr>
        <w:spacing w:before="212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(三)安装防盗装置，防止药品在配送过程中丢</w:t>
      </w:r>
      <w:r>
        <w:rPr>
          <w:rFonts w:ascii="SimSun" w:hAnsi="SimSun" w:eastAsia="SimSun" w:cs="SimSun"/>
          <w:spacing w:val="2"/>
          <w:sz w:val="31"/>
          <w:szCs w:val="31"/>
        </w:rPr>
        <w:t>失或被替换。</w:t>
      </w:r>
    </w:p>
    <w:p>
      <w:pPr>
        <w:spacing w:before="222" w:line="600" w:lineRule="exact"/>
        <w:ind w:left="63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position w:val="21"/>
          <w:sz w:val="31"/>
          <w:szCs w:val="31"/>
        </w:rPr>
        <w:t>配送冷藏、冷冻药品的配送箱，应当符合《规范》有关保温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3"/>
          <w:sz w:val="31"/>
          <w:szCs w:val="31"/>
        </w:rPr>
        <w:t>箱(冷藏箱)的要求。</w:t>
      </w:r>
    </w:p>
    <w:p>
      <w:pPr>
        <w:spacing w:before="199" w:line="346" w:lineRule="auto"/>
        <w:ind w:right="97" w:firstLine="63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"/>
          <w:sz w:val="31"/>
          <w:szCs w:val="31"/>
        </w:rPr>
        <w:t>第十一条</w:t>
      </w:r>
      <w:r>
        <w:rPr>
          <w:rFonts w:ascii="SimSun" w:hAnsi="SimSun" w:eastAsia="SimSun" w:cs="SimSun"/>
          <w:spacing w:val="42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"/>
          <w:sz w:val="31"/>
          <w:szCs w:val="31"/>
        </w:rPr>
        <w:t>配送药品的包装物及填充材料应当选取无毒、无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污染的材料，避免药品破碎或被挤压。有温湿</w:t>
      </w:r>
      <w:r>
        <w:rPr>
          <w:rFonts w:ascii="SimSun" w:hAnsi="SimSun" w:eastAsia="SimSun" w:cs="SimSun"/>
          <w:spacing w:val="3"/>
          <w:sz w:val="31"/>
          <w:szCs w:val="31"/>
        </w:rPr>
        <w:t>度、避光等要求的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5"/>
          <w:sz w:val="31"/>
          <w:szCs w:val="31"/>
        </w:rPr>
        <w:t>药品其包装物还应当选取隔温、防潮、避光的包装材料。</w:t>
      </w:r>
    </w:p>
    <w:p>
      <w:pPr>
        <w:spacing w:before="211" w:line="346" w:lineRule="auto"/>
        <w:ind w:right="98" w:firstLine="63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"/>
          <w:sz w:val="31"/>
          <w:szCs w:val="31"/>
        </w:rPr>
        <w:t>第十二条</w:t>
      </w:r>
      <w:r>
        <w:rPr>
          <w:rFonts w:ascii="SimSun" w:hAnsi="SimSun" w:eastAsia="SimSun" w:cs="SimSun"/>
          <w:spacing w:val="41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"/>
          <w:sz w:val="31"/>
          <w:szCs w:val="31"/>
        </w:rPr>
        <w:t xml:space="preserve">制作寄递配送单和配送包装封签的材料，应当不 </w:t>
      </w:r>
      <w:r>
        <w:rPr>
          <w:rFonts w:ascii="SimSun" w:hAnsi="SimSun" w:eastAsia="SimSun" w:cs="SimSun"/>
          <w:spacing w:val="4"/>
          <w:sz w:val="31"/>
          <w:szCs w:val="31"/>
        </w:rPr>
        <w:t>易损坏；封签上应有明显标示“药”的字样，用于打印信息的油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墨不易被擦拭或造成字迹模糊不清。配送包装被拆启后，包装封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签应当无法恢复原状。</w:t>
      </w:r>
    </w:p>
    <w:p>
      <w:pPr>
        <w:spacing w:before="208" w:line="584" w:lineRule="exact"/>
        <w:ind w:left="63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position w:val="20"/>
          <w:sz w:val="31"/>
          <w:szCs w:val="31"/>
        </w:rPr>
        <w:t>第十三条</w:t>
      </w:r>
      <w:r>
        <w:rPr>
          <w:rFonts w:ascii="SimSun" w:hAnsi="SimSun" w:eastAsia="SimSun" w:cs="SimSun"/>
          <w:spacing w:val="42"/>
          <w:position w:val="20"/>
          <w:sz w:val="31"/>
          <w:szCs w:val="31"/>
        </w:rPr>
        <w:t xml:space="preserve">  </w:t>
      </w:r>
      <w:r>
        <w:rPr>
          <w:rFonts w:ascii="SimSun" w:hAnsi="SimSun" w:eastAsia="SimSun" w:cs="SimSun"/>
          <w:position w:val="20"/>
          <w:sz w:val="31"/>
          <w:szCs w:val="31"/>
        </w:rPr>
        <w:t>配送设备应当定期检查、清洁和维护，由专人负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责管理，并建立记录和档案。</w:t>
      </w:r>
    </w:p>
    <w:p>
      <w:pPr>
        <w:spacing w:before="207" w:line="583" w:lineRule="exact"/>
        <w:ind w:left="63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3"/>
          <w:position w:val="20"/>
          <w:sz w:val="31"/>
          <w:szCs w:val="31"/>
        </w:rPr>
        <w:t>第十四条</w:t>
      </w:r>
      <w:r>
        <w:rPr>
          <w:rFonts w:ascii="SimSun" w:hAnsi="SimSun" w:eastAsia="SimSun" w:cs="SimSun"/>
          <w:spacing w:val="48"/>
          <w:position w:val="2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3"/>
          <w:position w:val="20"/>
          <w:sz w:val="31"/>
          <w:szCs w:val="31"/>
        </w:rPr>
        <w:t>药品零售企业应当对照消费者购买记录进行拣</w:t>
      </w:r>
    </w:p>
    <w:p>
      <w:pPr>
        <w:spacing w:before="2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5"/>
          <w:sz w:val="31"/>
          <w:szCs w:val="31"/>
        </w:rPr>
        <w:t>选、复核、包装与发货。发现以下情况不得发货：</w:t>
      </w:r>
    </w:p>
    <w:p>
      <w:pPr>
        <w:spacing w:before="224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2"/>
          <w:sz w:val="31"/>
          <w:szCs w:val="31"/>
        </w:rPr>
        <w:t>(一)药品包装出现破损、污染、封条破坏等问题；</w:t>
      </w:r>
    </w:p>
    <w:p>
      <w:pPr>
        <w:sectPr>
          <w:footerReference r:id="rId12" w:type="default"/>
          <w:pgSz w:w="11910" w:h="16850"/>
          <w:pgMar w:top="400" w:right="1464" w:bottom="1495" w:left="1529" w:header="0" w:footer="1189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00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4"/>
          <w:sz w:val="31"/>
          <w:szCs w:val="31"/>
        </w:rPr>
        <w:t>(二)药品包装内有异常响动或者液体渗漏；</w:t>
      </w:r>
    </w:p>
    <w:p>
      <w:pPr>
        <w:spacing w:before="201" w:line="570" w:lineRule="exact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0"/>
          <w:position w:val="19"/>
          <w:sz w:val="31"/>
          <w:szCs w:val="31"/>
        </w:rPr>
        <w:t>(三)药品标签脱落、字迹模糊不清或者标识内容与实物不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14"/>
          <w:sz w:val="31"/>
          <w:szCs w:val="31"/>
        </w:rPr>
        <w:t>符；</w:t>
      </w:r>
    </w:p>
    <w:p>
      <w:pPr>
        <w:spacing w:before="202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3"/>
          <w:sz w:val="31"/>
          <w:szCs w:val="31"/>
        </w:rPr>
        <w:t>(四)药品已超过有效期或无法在有效期内送达消费者；</w:t>
      </w:r>
    </w:p>
    <w:p>
      <w:pPr>
        <w:spacing w:before="202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8"/>
          <w:sz w:val="31"/>
          <w:szCs w:val="31"/>
        </w:rPr>
        <w:t>(五)其他异常情况的药品。</w:t>
      </w:r>
    </w:p>
    <w:p>
      <w:pPr>
        <w:spacing w:before="237" w:line="575" w:lineRule="exact"/>
        <w:ind w:left="64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4"/>
          <w:position w:val="19"/>
          <w:sz w:val="31"/>
          <w:szCs w:val="31"/>
        </w:rPr>
        <w:t>第十五条</w:t>
      </w:r>
      <w:r>
        <w:rPr>
          <w:rFonts w:ascii="SimSun" w:hAnsi="SimSun" w:eastAsia="SimSun" w:cs="SimSun"/>
          <w:spacing w:val="23"/>
          <w:position w:val="19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4"/>
          <w:position w:val="19"/>
          <w:sz w:val="31"/>
          <w:szCs w:val="31"/>
        </w:rPr>
        <w:t>药品零售企业应当对配送的药品进行妥善包装，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操作中应当符合以下要求：</w:t>
      </w:r>
    </w:p>
    <w:p>
      <w:pPr>
        <w:spacing w:before="221" w:line="219" w:lineRule="auto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3"/>
          <w:sz w:val="31"/>
          <w:szCs w:val="31"/>
        </w:rPr>
        <w:t>(一)对药品采用单独包装，不得与非药品合并包装；</w:t>
      </w:r>
    </w:p>
    <w:p>
      <w:pPr>
        <w:spacing w:before="205" w:line="339" w:lineRule="auto"/>
        <w:ind w:right="90" w:firstLine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sz w:val="31"/>
          <w:szCs w:val="31"/>
        </w:rPr>
        <w:t xml:space="preserve">(二)根据药品的体积、重量、储存条件等选取适宜的包装 </w:t>
      </w:r>
      <w:r>
        <w:rPr>
          <w:rFonts w:ascii="SimSun" w:hAnsi="SimSun" w:eastAsia="SimSun" w:cs="SimSun"/>
          <w:spacing w:val="3"/>
          <w:sz w:val="31"/>
          <w:szCs w:val="31"/>
        </w:rPr>
        <w:t>物及填充材料，保证配送过程中包装不易损坏或变形，防止包装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"/>
          <w:sz w:val="31"/>
          <w:szCs w:val="31"/>
        </w:rPr>
        <w:t>内药品出现破碎、被污染等情形；</w:t>
      </w:r>
    </w:p>
    <w:p>
      <w:pPr>
        <w:spacing w:before="201" w:line="570" w:lineRule="exact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position w:val="19"/>
          <w:sz w:val="31"/>
          <w:szCs w:val="31"/>
        </w:rPr>
        <w:t>(三)药品及销售单据装入包装物后，要对包装物进行外形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5"/>
          <w:sz w:val="31"/>
          <w:szCs w:val="31"/>
        </w:rPr>
        <w:t>固定，并在封口处或者其他适当位置使用封签进行封口；</w:t>
      </w:r>
    </w:p>
    <w:p>
      <w:pPr>
        <w:spacing w:before="204" w:line="339" w:lineRule="auto"/>
        <w:ind w:right="75" w:firstLine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sz w:val="31"/>
          <w:szCs w:val="31"/>
        </w:rPr>
        <w:t>(四)在包装件外部加贴寄递配送单。寄递配送单记载的信</w:t>
      </w:r>
      <w:r>
        <w:rPr>
          <w:rFonts w:ascii="SimSun" w:hAnsi="SimSun" w:eastAsia="SimSun" w:cs="SimSun"/>
          <w:spacing w:val="16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息至少包括药品零售企业名称及联系方式、配送企业名称</w:t>
      </w:r>
      <w:r>
        <w:rPr>
          <w:rFonts w:ascii="SimSun" w:hAnsi="SimSun" w:eastAsia="SimSun" w:cs="SimSun"/>
          <w:spacing w:val="3"/>
          <w:sz w:val="31"/>
          <w:szCs w:val="31"/>
        </w:rPr>
        <w:t>及联系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14"/>
          <w:sz w:val="31"/>
          <w:szCs w:val="31"/>
        </w:rPr>
        <w:t>方式、药品储存要求(如常温、阴凉、冷藏、冷冻等)等。寄递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配送单亦可当做封签使用；</w:t>
      </w:r>
    </w:p>
    <w:p>
      <w:pPr>
        <w:spacing w:before="202" w:line="570" w:lineRule="exact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position w:val="19"/>
          <w:sz w:val="31"/>
          <w:szCs w:val="31"/>
        </w:rPr>
        <w:t>(五)包装件存放于专门设置的待配送区，待配送区符合所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配送药品的贮藏条件。</w:t>
      </w:r>
    </w:p>
    <w:p>
      <w:pPr>
        <w:spacing w:before="197" w:line="219" w:lineRule="auto"/>
        <w:ind w:left="65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2"/>
          <w:sz w:val="31"/>
          <w:szCs w:val="31"/>
        </w:rPr>
        <w:t>第十六条</w:t>
      </w:r>
      <w:r>
        <w:rPr>
          <w:rFonts w:ascii="SimSun" w:hAnsi="SimSun" w:eastAsia="SimSun" w:cs="SimSun"/>
          <w:spacing w:val="2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2"/>
          <w:sz w:val="31"/>
          <w:szCs w:val="31"/>
        </w:rPr>
        <w:t>配送过程应当按以下要求操作：</w:t>
      </w:r>
    </w:p>
    <w:p>
      <w:pPr>
        <w:spacing w:before="327" w:line="570" w:lineRule="exact"/>
        <w:ind w:left="779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9"/>
          <w:position w:val="19"/>
          <w:sz w:val="31"/>
          <w:szCs w:val="31"/>
        </w:rPr>
        <w:t>(一)使用配送箱进行配送的，药品包装件应当有序摆放并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留有适当空间，避免挤压致使包装或封签破损。与非药品混箱配</w:t>
      </w:r>
    </w:p>
    <w:p>
      <w:pPr>
        <w:sectPr>
          <w:footerReference r:id="rId13" w:type="default"/>
          <w:pgSz w:w="11910" w:h="16850"/>
          <w:pgMar w:top="400" w:right="1574" w:bottom="1307" w:left="1470" w:header="0" w:footer="999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6"/>
          <w:sz w:val="31"/>
          <w:szCs w:val="31"/>
        </w:rPr>
        <w:t>送的，应当将药品包装件放置于配送箱内药品专用区；</w:t>
      </w:r>
    </w:p>
    <w:p>
      <w:pPr>
        <w:spacing w:before="203" w:line="345" w:lineRule="auto"/>
        <w:ind w:right="105" w:firstLine="78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0"/>
          <w:sz w:val="31"/>
          <w:szCs w:val="31"/>
        </w:rPr>
        <w:t>(二)使用配送车辆进行运输的，应当将包装件放置于车厢</w:t>
      </w:r>
      <w:r>
        <w:rPr>
          <w:rFonts w:ascii="SimSun" w:hAnsi="SimSun" w:eastAsia="SimSun" w:cs="SimSun"/>
          <w:spacing w:val="8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2"/>
          <w:sz w:val="31"/>
          <w:szCs w:val="31"/>
        </w:rPr>
        <w:t>内的药品区域。配送车辆不能直接将药品配送至消费者的</w:t>
      </w:r>
      <w:r>
        <w:rPr>
          <w:rFonts w:ascii="SimSun" w:hAnsi="SimSun" w:eastAsia="SimSun" w:cs="SimSun"/>
          <w:spacing w:val="1"/>
          <w:sz w:val="31"/>
          <w:szCs w:val="31"/>
        </w:rPr>
        <w:t>，配送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5"/>
          <w:sz w:val="31"/>
          <w:szCs w:val="31"/>
        </w:rPr>
        <w:t>企业应当按照配送要求，继续选择其他适宜的配送工具；</w:t>
      </w:r>
    </w:p>
    <w:p>
      <w:pPr>
        <w:spacing w:before="213" w:line="345" w:lineRule="auto"/>
        <w:ind w:right="29" w:firstLine="78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0"/>
          <w:sz w:val="31"/>
          <w:szCs w:val="31"/>
        </w:rPr>
        <w:t>(三)与药品储存要求有明显温度差异的商品混箱、混车配</w:t>
      </w:r>
      <w:r>
        <w:rPr>
          <w:rFonts w:ascii="SimSun" w:hAnsi="SimSun" w:eastAsia="SimSun" w:cs="SimSun"/>
          <w:spacing w:val="2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7"/>
          <w:sz w:val="31"/>
          <w:szCs w:val="31"/>
        </w:rPr>
        <w:t>送的，应当采取隔温封装等有效措施，并按有关要求予以验证</w:t>
      </w:r>
      <w:r>
        <w:rPr>
          <w:rFonts w:ascii="SimSun" w:hAnsi="SimSun" w:eastAsia="SimSun" w:cs="SimSun"/>
          <w:spacing w:val="6"/>
          <w:sz w:val="31"/>
          <w:szCs w:val="31"/>
        </w:rPr>
        <w:t>，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确保药品持续符合储存要求。</w:t>
      </w:r>
    </w:p>
    <w:p>
      <w:pPr>
        <w:spacing w:before="209" w:line="346" w:lineRule="auto"/>
        <w:ind w:firstLine="78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(四)配送过程中，应当采取必要措施，避免包装件在途中、</w:t>
      </w:r>
      <w:r>
        <w:rPr>
          <w:rFonts w:ascii="SimSun" w:hAnsi="SimSun" w:eastAsia="SimSun" w:cs="SimSun"/>
          <w:spacing w:val="9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4"/>
          <w:sz w:val="31"/>
          <w:szCs w:val="31"/>
        </w:rPr>
        <w:t>交接、转运或转存等环节遭受雨淋、潮湿、高温、阳光直射、严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寒等外界特殊环境的影响；</w:t>
      </w:r>
    </w:p>
    <w:p>
      <w:pPr>
        <w:spacing w:before="212" w:line="581" w:lineRule="exact"/>
        <w:ind w:left="78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0"/>
          <w:position w:val="20"/>
          <w:sz w:val="31"/>
          <w:szCs w:val="31"/>
        </w:rPr>
        <w:t>(五)配送冷藏、冷冻药品的，还应当符合《规范》的有关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8"/>
          <w:sz w:val="31"/>
          <w:szCs w:val="31"/>
        </w:rPr>
        <w:t>规定。</w:t>
      </w:r>
    </w:p>
    <w:p>
      <w:pPr>
        <w:spacing w:before="217" w:line="346" w:lineRule="auto"/>
        <w:ind w:right="29" w:firstLine="71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2"/>
          <w:sz w:val="31"/>
          <w:szCs w:val="31"/>
        </w:rPr>
        <w:t>第十七条</w:t>
      </w:r>
      <w:r>
        <w:rPr>
          <w:rFonts w:ascii="SimSun" w:hAnsi="SimSun" w:eastAsia="SimSun" w:cs="SimSun"/>
          <w:spacing w:val="3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2"/>
          <w:sz w:val="31"/>
          <w:szCs w:val="31"/>
        </w:rPr>
        <w:t>药品零售企业应当在保证药品质量安</w:t>
      </w:r>
      <w:r>
        <w:rPr>
          <w:rFonts w:ascii="SimSun" w:hAnsi="SimSun" w:eastAsia="SimSun" w:cs="SimSun"/>
          <w:spacing w:val="11"/>
          <w:sz w:val="31"/>
          <w:szCs w:val="31"/>
        </w:rPr>
        <w:t>全的前提</w:t>
      </w:r>
      <w:r>
        <w:rPr>
          <w:rFonts w:ascii="SimSun" w:hAnsi="SimSun" w:eastAsia="SimSun" w:cs="SimSun"/>
          <w:spacing w:val="1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7"/>
          <w:sz w:val="31"/>
          <w:szCs w:val="31"/>
        </w:rPr>
        <w:t>下，尽量减少配送的在途时间。在配送过程中确需暂时储存</w:t>
      </w:r>
      <w:r>
        <w:rPr>
          <w:rFonts w:ascii="SimSun" w:hAnsi="SimSun" w:eastAsia="SimSun" w:cs="SimSun"/>
          <w:spacing w:val="6"/>
          <w:sz w:val="31"/>
          <w:szCs w:val="31"/>
        </w:rPr>
        <w:t>的，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5"/>
          <w:sz w:val="31"/>
          <w:szCs w:val="31"/>
        </w:rPr>
        <w:t>储存场所应当具有与配送规模相适应的仓储空间，并符合药品贮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6"/>
          <w:sz w:val="31"/>
          <w:szCs w:val="31"/>
        </w:rPr>
        <w:t>藏规定的相关条件。冷藏、冷冻药品禁止暂时</w:t>
      </w:r>
      <w:r>
        <w:rPr>
          <w:rFonts w:ascii="SimSun" w:hAnsi="SimSun" w:eastAsia="SimSun" w:cs="SimSun"/>
          <w:spacing w:val="5"/>
          <w:sz w:val="31"/>
          <w:szCs w:val="31"/>
        </w:rPr>
        <w:t>储存。</w:t>
      </w:r>
    </w:p>
    <w:p>
      <w:pPr>
        <w:spacing w:before="207" w:line="347" w:lineRule="auto"/>
        <w:ind w:right="50" w:firstLine="71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"/>
          <w:sz w:val="31"/>
          <w:szCs w:val="31"/>
        </w:rPr>
        <w:t>第十八条</w:t>
      </w:r>
      <w:r>
        <w:rPr>
          <w:rFonts w:ascii="SimSun" w:hAnsi="SimSun" w:eastAsia="SimSun" w:cs="SimSun"/>
          <w:spacing w:val="2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"/>
          <w:sz w:val="31"/>
          <w:szCs w:val="31"/>
        </w:rPr>
        <w:t>药品送达后，药品零售企业应当通过有效方式提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14"/>
          <w:sz w:val="31"/>
          <w:szCs w:val="31"/>
        </w:rPr>
        <w:t>示消费者确认药品的配送信息以及配送包装内药品有无破损或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3"/>
          <w:sz w:val="31"/>
          <w:szCs w:val="31"/>
        </w:rPr>
        <w:t>差错等情况。</w:t>
      </w:r>
    </w:p>
    <w:p>
      <w:pPr>
        <w:spacing w:before="207" w:line="585" w:lineRule="exact"/>
        <w:ind w:left="71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2"/>
          <w:position w:val="20"/>
          <w:sz w:val="31"/>
          <w:szCs w:val="31"/>
        </w:rPr>
        <w:t>第十九条</w:t>
      </w:r>
      <w:r>
        <w:rPr>
          <w:rFonts w:ascii="SimSun" w:hAnsi="SimSun" w:eastAsia="SimSun" w:cs="SimSun"/>
          <w:spacing w:val="58"/>
          <w:position w:val="20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2"/>
          <w:position w:val="20"/>
          <w:sz w:val="31"/>
          <w:szCs w:val="31"/>
        </w:rPr>
        <w:t>药品在送达时发生不予签收或者售后发生退货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2"/>
          <w:sz w:val="31"/>
          <w:szCs w:val="31"/>
        </w:rPr>
        <w:t>的情况，应当按照以下要求处理：</w:t>
      </w:r>
    </w:p>
    <w:p>
      <w:pPr>
        <w:spacing w:before="223" w:line="219" w:lineRule="auto"/>
        <w:ind w:left="78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10"/>
          <w:sz w:val="31"/>
          <w:szCs w:val="31"/>
        </w:rPr>
        <w:t>(一)药品送达时，因配送包装损坏、封签损坏、配送信息</w:t>
      </w:r>
    </w:p>
    <w:p>
      <w:pPr>
        <w:sectPr>
          <w:footerReference r:id="rId14" w:type="default"/>
          <w:pgSz w:w="11910" w:h="16850"/>
          <w:pgMar w:top="400" w:right="1485" w:bottom="1485" w:left="1519" w:header="0" w:footer="1179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98" w:line="60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4"/>
          <w:position w:val="22"/>
          <w:sz w:val="30"/>
          <w:szCs w:val="30"/>
        </w:rPr>
        <w:t>不符以及包装内药品有质量问题等情形，消费者不予签收的，由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6"/>
          <w:sz w:val="30"/>
          <w:szCs w:val="30"/>
        </w:rPr>
        <w:t>配送员退回药品零售企业按照《规范》相关要求处理；</w:t>
      </w:r>
    </w:p>
    <w:p>
      <w:pPr>
        <w:spacing w:before="211" w:line="351" w:lineRule="auto"/>
        <w:ind w:right="104" w:firstLine="78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32"/>
          <w:sz w:val="30"/>
          <w:szCs w:val="30"/>
        </w:rPr>
        <w:t>(二)药品被消费者签收，但事后发现药品质</w:t>
      </w:r>
      <w:r>
        <w:rPr>
          <w:rFonts w:ascii="SimSun" w:hAnsi="SimSun" w:eastAsia="SimSun" w:cs="SimSun"/>
          <w:spacing w:val="31"/>
          <w:sz w:val="30"/>
          <w:szCs w:val="30"/>
        </w:rPr>
        <w:t>量存在问题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pacing w:val="12"/>
          <w:sz w:val="30"/>
          <w:szCs w:val="30"/>
        </w:rPr>
        <w:t>的，药品零售企业应当给予退货，退回药品不得继续销售。除此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5"/>
          <w:sz w:val="30"/>
          <w:szCs w:val="30"/>
        </w:rPr>
        <w:t>以外其他情形，按照《规范》相关规定，原则上不予退货。</w:t>
      </w:r>
    </w:p>
    <w:p>
      <w:pPr>
        <w:spacing w:before="211" w:line="352" w:lineRule="auto"/>
        <w:ind w:right="106" w:firstLine="664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b/>
          <w:bCs/>
          <w:spacing w:val="10"/>
          <w:sz w:val="30"/>
          <w:szCs w:val="30"/>
        </w:rPr>
        <w:t>第二十条</w:t>
      </w:r>
      <w:r>
        <w:rPr>
          <w:rFonts w:ascii="SimSun" w:hAnsi="SimSun" w:eastAsia="SimSun" w:cs="SimSun"/>
          <w:spacing w:val="30"/>
          <w:sz w:val="30"/>
          <w:szCs w:val="30"/>
        </w:rPr>
        <w:t xml:space="preserve">  </w:t>
      </w:r>
      <w:r>
        <w:rPr>
          <w:rFonts w:ascii="SimSun" w:hAnsi="SimSun" w:eastAsia="SimSun" w:cs="SimSun"/>
          <w:spacing w:val="10"/>
          <w:sz w:val="30"/>
          <w:szCs w:val="30"/>
        </w:rPr>
        <w:t>药品零售企业委托其他单位配送药品</w:t>
      </w:r>
      <w:r>
        <w:rPr>
          <w:rFonts w:ascii="SimSun" w:hAnsi="SimSun" w:eastAsia="SimSun" w:cs="SimSun"/>
          <w:spacing w:val="9"/>
          <w:sz w:val="30"/>
          <w:szCs w:val="30"/>
        </w:rPr>
        <w:t>时，应当将</w:t>
      </w:r>
      <w:r>
        <w:rPr>
          <w:rFonts w:ascii="SimSun" w:hAnsi="SimSun" w:eastAsia="SimSun" w:cs="SimSun"/>
          <w:spacing w:val="1"/>
          <w:sz w:val="30"/>
          <w:szCs w:val="30"/>
        </w:rPr>
        <w:t xml:space="preserve"> </w:t>
      </w:r>
      <w:r>
        <w:rPr>
          <w:rFonts w:ascii="SimSun" w:hAnsi="SimSun" w:eastAsia="SimSun" w:cs="SimSun"/>
          <w:spacing w:val="13"/>
          <w:sz w:val="30"/>
          <w:szCs w:val="30"/>
        </w:rPr>
        <w:t>其配送活动纳入本企业药品质量管理体系，保证委托配送过程符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0"/>
          <w:sz w:val="30"/>
          <w:szCs w:val="30"/>
        </w:rPr>
        <w:t>合《规范》和本附录要求：</w:t>
      </w:r>
    </w:p>
    <w:p>
      <w:pPr>
        <w:spacing w:before="265" w:line="580" w:lineRule="exact"/>
        <w:ind w:left="78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9"/>
          <w:position w:val="21"/>
          <w:sz w:val="30"/>
          <w:szCs w:val="30"/>
        </w:rPr>
        <w:t>(一)核查配送单位是否具有独立的药品配送质量管理机构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9"/>
          <w:sz w:val="30"/>
          <w:szCs w:val="30"/>
        </w:rPr>
        <w:t>或质量负责人；</w:t>
      </w:r>
    </w:p>
    <w:p>
      <w:pPr>
        <w:spacing w:before="224" w:line="580" w:lineRule="exact"/>
        <w:ind w:left="78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9"/>
          <w:position w:val="21"/>
          <w:sz w:val="30"/>
          <w:szCs w:val="30"/>
        </w:rPr>
        <w:t>(二)对配送单位的配送设施设备、人员能力、质量保障能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1"/>
          <w:sz w:val="30"/>
          <w:szCs w:val="30"/>
        </w:rPr>
        <w:t>力、风险控制能力进行定期审计；</w:t>
      </w:r>
    </w:p>
    <w:p>
      <w:pPr>
        <w:spacing w:before="224" w:line="580" w:lineRule="exact"/>
        <w:ind w:left="78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23"/>
          <w:position w:val="21"/>
          <w:sz w:val="30"/>
          <w:szCs w:val="30"/>
        </w:rPr>
        <w:t>(三)与配送单位签订委托配送协议，明确双方质量责任、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5"/>
          <w:sz w:val="30"/>
          <w:szCs w:val="30"/>
        </w:rPr>
        <w:t>配送操作规程、在途时限及药品质量安全事故处置等内容。</w:t>
      </w:r>
    </w:p>
    <w:p>
      <w:pPr>
        <w:spacing w:before="224" w:line="580" w:lineRule="exact"/>
        <w:ind w:left="65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2"/>
          <w:position w:val="21"/>
          <w:sz w:val="30"/>
          <w:szCs w:val="30"/>
        </w:rPr>
        <w:t>委托其他单位配送冷藏、冷冻药品的，还应当对配送单位冷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5"/>
          <w:sz w:val="30"/>
          <w:szCs w:val="30"/>
        </w:rPr>
        <w:t>藏、冷冻的配送设施设备、温度自动监测系统等进行验证。</w:t>
      </w:r>
    </w:p>
    <w:p>
      <w:pPr>
        <w:spacing w:before="220" w:line="352" w:lineRule="auto"/>
        <w:ind w:right="89" w:firstLine="664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b/>
          <w:bCs/>
          <w:spacing w:val="21"/>
          <w:sz w:val="30"/>
          <w:szCs w:val="30"/>
        </w:rPr>
        <w:t>第二十一条</w:t>
      </w:r>
      <w:r>
        <w:rPr>
          <w:rFonts w:ascii="SimSun" w:hAnsi="SimSun" w:eastAsia="SimSun" w:cs="SimSun"/>
          <w:spacing w:val="57"/>
          <w:sz w:val="30"/>
          <w:szCs w:val="30"/>
        </w:rPr>
        <w:t xml:space="preserve">  </w:t>
      </w:r>
      <w:r>
        <w:rPr>
          <w:rFonts w:ascii="SimSun" w:hAnsi="SimSun" w:eastAsia="SimSun" w:cs="SimSun"/>
          <w:spacing w:val="21"/>
          <w:sz w:val="30"/>
          <w:szCs w:val="30"/>
        </w:rPr>
        <w:t>药品网络交易第三方平台应当为接入的药品</w:t>
      </w:r>
      <w:r>
        <w:rPr>
          <w:rFonts w:ascii="SimSun" w:hAnsi="SimSun" w:eastAsia="SimSun" w:cs="SimSun"/>
          <w:spacing w:val="1"/>
          <w:sz w:val="30"/>
          <w:szCs w:val="30"/>
        </w:rPr>
        <w:t xml:space="preserve"> </w:t>
      </w:r>
      <w:r>
        <w:rPr>
          <w:rFonts w:ascii="SimSun" w:hAnsi="SimSun" w:eastAsia="SimSun" w:cs="SimSun"/>
          <w:spacing w:val="12"/>
          <w:sz w:val="30"/>
          <w:szCs w:val="30"/>
        </w:rPr>
        <w:t>零售配送相关单位，按照药品信息化追溯要求，根据需要提供药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3"/>
          <w:sz w:val="30"/>
          <w:szCs w:val="30"/>
        </w:rPr>
        <w:t>品配送过程中有关信息数据共享的条件。</w:t>
      </w:r>
    </w:p>
    <w:p>
      <w:pPr>
        <w:spacing w:before="234" w:line="357" w:lineRule="auto"/>
        <w:ind w:right="106" w:firstLine="65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25"/>
          <w:sz w:val="30"/>
          <w:szCs w:val="30"/>
        </w:rPr>
        <w:t>药品网络交易第三方平台应当对相关配送企业每年至</w:t>
      </w:r>
      <w:r>
        <w:rPr>
          <w:rFonts w:ascii="SimSun" w:hAnsi="SimSun" w:eastAsia="SimSun" w:cs="SimSun"/>
          <w:spacing w:val="24"/>
          <w:sz w:val="30"/>
          <w:szCs w:val="30"/>
        </w:rPr>
        <w:t>少开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pacing w:val="12"/>
          <w:sz w:val="30"/>
          <w:szCs w:val="30"/>
        </w:rPr>
        <w:t>展一次评审，评审内容至少包括配送设备设施、人员资质、质量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pacing w:val="12"/>
          <w:sz w:val="30"/>
          <w:szCs w:val="30"/>
        </w:rPr>
        <w:t>管理水平、风险控制能力等，对评审结果不符合要求的配送企业</w:t>
      </w:r>
    </w:p>
    <w:p>
      <w:pPr>
        <w:sectPr>
          <w:footerReference r:id="rId15" w:type="default"/>
          <w:pgSz w:w="11910" w:h="16850"/>
          <w:pgMar w:top="400" w:right="1559" w:bottom="1300" w:left="1460" w:header="0" w:footer="1002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3"/>
          <w:sz w:val="31"/>
          <w:szCs w:val="31"/>
        </w:rPr>
        <w:t>应停止合作。</w:t>
      </w:r>
    </w:p>
    <w:p>
      <w:pPr>
        <w:spacing w:before="184" w:line="219" w:lineRule="auto"/>
        <w:ind w:left="614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b/>
          <w:bCs/>
          <w:spacing w:val="1"/>
          <w:sz w:val="31"/>
          <w:szCs w:val="31"/>
        </w:rPr>
        <w:t>第二十二条</w:t>
      </w:r>
      <w:r>
        <w:rPr>
          <w:rFonts w:ascii="SimSun" w:hAnsi="SimSun" w:eastAsia="SimSun" w:cs="SimSun"/>
          <w:spacing w:val="26"/>
          <w:sz w:val="31"/>
          <w:szCs w:val="31"/>
        </w:rPr>
        <w:t xml:space="preserve">  </w:t>
      </w:r>
      <w:r>
        <w:rPr>
          <w:rFonts w:ascii="SimSun" w:hAnsi="SimSun" w:eastAsia="SimSun" w:cs="SimSun"/>
          <w:spacing w:val="1"/>
          <w:sz w:val="31"/>
          <w:szCs w:val="31"/>
        </w:rPr>
        <w:t>本附录涉及的下列术语的含义是：</w:t>
      </w:r>
    </w:p>
    <w:p>
      <w:pPr>
        <w:spacing w:before="227" w:line="589" w:lineRule="exact"/>
        <w:ind w:left="61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4"/>
          <w:position w:val="20"/>
          <w:sz w:val="31"/>
          <w:szCs w:val="31"/>
        </w:rPr>
        <w:t>包装物，是指在配送过程中为保护药品、方便配送，按一定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7"/>
          <w:sz w:val="31"/>
          <w:szCs w:val="31"/>
        </w:rPr>
        <w:t>技术方法而采用的容器、包装材料及辅助物等的</w:t>
      </w:r>
      <w:r>
        <w:rPr>
          <w:rFonts w:ascii="SimSun" w:hAnsi="SimSun" w:eastAsia="SimSun" w:cs="SimSun"/>
          <w:spacing w:val="6"/>
          <w:sz w:val="31"/>
          <w:szCs w:val="31"/>
        </w:rPr>
        <w:t>总称。</w:t>
      </w:r>
    </w:p>
    <w:p>
      <w:pPr>
        <w:spacing w:before="194" w:line="351" w:lineRule="auto"/>
        <w:ind w:right="122" w:firstLine="61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sz w:val="31"/>
          <w:szCs w:val="31"/>
        </w:rPr>
        <w:t>包装件，是指已将药品、销售单据等需配送的物品放置于包</w:t>
      </w:r>
      <w:r>
        <w:rPr>
          <w:rFonts w:ascii="SimSun" w:hAnsi="SimSun" w:eastAsia="SimSun" w:cs="SimSun"/>
          <w:spacing w:val="5"/>
          <w:sz w:val="31"/>
          <w:szCs w:val="31"/>
        </w:rPr>
        <w:t xml:space="preserve"> </w:t>
      </w:r>
      <w:r>
        <w:rPr>
          <w:rFonts w:ascii="SimSun" w:hAnsi="SimSun" w:eastAsia="SimSun" w:cs="SimSun"/>
          <w:spacing w:val="3"/>
          <w:sz w:val="31"/>
          <w:szCs w:val="31"/>
        </w:rPr>
        <w:t>装物内，并经外形固定、封口封签、加贴寄递配送单后，可以进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行配送的物件。</w:t>
      </w:r>
    </w:p>
    <w:p>
      <w:pPr>
        <w:spacing w:before="192" w:line="599" w:lineRule="exact"/>
        <w:ind w:left="61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position w:val="21"/>
          <w:sz w:val="31"/>
          <w:szCs w:val="31"/>
        </w:rPr>
        <w:t>包装封签，是指在将药品等放入包装物后，为防止药品在配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3"/>
          <w:sz w:val="31"/>
          <w:szCs w:val="31"/>
        </w:rPr>
        <w:t>送过程中污染、丢失或被替换，在包装物上一次</w:t>
      </w:r>
      <w:r>
        <w:rPr>
          <w:rFonts w:ascii="SimSun" w:hAnsi="SimSun" w:eastAsia="SimSun" w:cs="SimSun"/>
          <w:spacing w:val="-4"/>
          <w:sz w:val="31"/>
          <w:szCs w:val="31"/>
        </w:rPr>
        <w:t>性使用的封口件。</w:t>
      </w:r>
    </w:p>
    <w:p>
      <w:pPr>
        <w:spacing w:before="202" w:line="601" w:lineRule="exact"/>
        <w:ind w:left="61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3"/>
          <w:position w:val="21"/>
          <w:sz w:val="31"/>
          <w:szCs w:val="31"/>
        </w:rPr>
        <w:t>寄递配送单，是指加贴在包装物外部的、记载着药品配送信</w:t>
      </w:r>
    </w:p>
    <w:p>
      <w:pPr>
        <w:spacing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pacing w:val="-5"/>
          <w:sz w:val="31"/>
          <w:szCs w:val="31"/>
        </w:rPr>
        <w:t>息的标签。</w:t>
      </w:r>
    </w:p>
    <w:p>
      <w:pPr>
        <w:sectPr>
          <w:footerReference r:id="rId16" w:type="default"/>
          <w:pgSz w:w="11910" w:h="16850"/>
          <w:pgMar w:top="400" w:right="1474" w:bottom="1497" w:left="1539" w:header="0" w:footer="1189" w:gutter="0"/>
          <w:cols w:space="720" w:num="1"/>
        </w:sect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3" w:lineRule="exact"/>
      </w:pPr>
    </w:p>
    <w:tbl>
      <w:tblPr>
        <w:tblStyle w:val="4"/>
        <w:tblW w:w="8839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9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8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4" w:line="621" w:lineRule="exact"/>
              <w:ind w:left="359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"/>
                <w:position w:val="26"/>
                <w:sz w:val="27"/>
                <w:szCs w:val="27"/>
              </w:rPr>
              <w:t>分送：各省、自治区、直辖市药品监督管理局，新</w:t>
            </w:r>
            <w:r>
              <w:rPr>
                <w:rFonts w:ascii="SimSun" w:hAnsi="SimSun" w:eastAsia="SimSun" w:cs="SimSun"/>
                <w:position w:val="26"/>
                <w:sz w:val="27"/>
                <w:szCs w:val="27"/>
              </w:rPr>
              <w:t>疆生产建设兵团药</w:t>
            </w:r>
          </w:p>
          <w:p>
            <w:pPr>
              <w:spacing w:line="219" w:lineRule="auto"/>
              <w:ind w:left="1209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-1"/>
                <w:sz w:val="27"/>
                <w:szCs w:val="27"/>
              </w:rPr>
              <w:t>品监督管理局。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8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19" w:lineRule="auto"/>
              <w:ind w:left="369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pacing w:val="19"/>
                <w:sz w:val="27"/>
                <w:szCs w:val="27"/>
              </w:rPr>
              <w:t>国家药品监督管理局综合和规划财务司</w:t>
            </w:r>
            <w:r>
              <w:rPr>
                <w:rFonts w:ascii="SimSun" w:hAnsi="SimSun" w:eastAsia="SimSun" w:cs="SimSun"/>
                <w:spacing w:val="39"/>
                <w:sz w:val="27"/>
                <w:szCs w:val="27"/>
              </w:rPr>
              <w:t xml:space="preserve">   </w:t>
            </w:r>
            <w:r>
              <w:rPr>
                <w:rFonts w:ascii="SimSun" w:hAnsi="SimSun" w:eastAsia="SimSun" w:cs="SimSun"/>
                <w:spacing w:val="19"/>
                <w:sz w:val="27"/>
                <w:szCs w:val="27"/>
              </w:rPr>
              <w:t>2022年11月30日</w:t>
            </w:r>
            <w:r>
              <w:rPr>
                <w:rFonts w:ascii="SimSun" w:hAnsi="SimSun" w:eastAsia="SimSun" w:cs="SimSun"/>
                <w:spacing w:val="18"/>
                <w:sz w:val="27"/>
                <w:szCs w:val="27"/>
              </w:rPr>
              <w:t>印发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7" w:type="default"/>
      <w:pgSz w:w="11910" w:h="16850"/>
      <w:pgMar w:top="400" w:right="1619" w:bottom="400" w:left="14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600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4"/>
        <w:sz w:val="29"/>
        <w:szCs w:val="29"/>
      </w:rPr>
      <w:t>—</w:t>
    </w:r>
    <w:r>
      <w:rPr>
        <w:rFonts w:ascii="SimSun" w:hAnsi="SimSun" w:eastAsia="SimSun" w:cs="SimSun"/>
        <w:spacing w:val="-113"/>
        <w:sz w:val="29"/>
        <w:szCs w:val="29"/>
      </w:rPr>
      <w:t xml:space="preserve"> </w:t>
    </w:r>
    <w:r>
      <w:rPr>
        <w:rFonts w:ascii="SimSun" w:hAnsi="SimSun" w:eastAsia="SimSun" w:cs="SimSun"/>
        <w:spacing w:val="-14"/>
        <w:sz w:val="29"/>
        <w:szCs w:val="29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3"/>
        <w:sz w:val="29"/>
        <w:szCs w:val="29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55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—3</w:t>
    </w:r>
    <w:r>
      <w:rPr>
        <w:rFonts w:ascii="SimSun" w:hAnsi="SimSun" w:eastAsia="SimSun" w:cs="SimSun"/>
        <w:spacing w:val="28"/>
        <w:sz w:val="31"/>
        <w:szCs w:val="31"/>
      </w:rPr>
      <w:t xml:space="preserve">  </w:t>
    </w:r>
    <w:r>
      <w:rPr>
        <w:rFonts w:ascii="SimSun" w:hAnsi="SimSun" w:eastAsia="SimSun" w:cs="SimSun"/>
        <w:spacing w:val="-4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80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6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8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8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90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4"/>
        <w:sz w:val="30"/>
        <w:szCs w:val="3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680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pacing w:val="-4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323pt;margin-top:250.7pt;height:55.45pt;width:132.4pt;mso-position-horizontal-relative:page;mso-position-vertical-relative:page;z-index:251658240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20" w:lineRule="auto"/>
                  <w:ind w:left="529"/>
                  <w:rPr>
                    <w:rFonts w:ascii="SimSun" w:hAnsi="SimSun" w:eastAsia="SimSun" w:cs="SimSun"/>
                    <w:sz w:val="32"/>
                    <w:szCs w:val="32"/>
                  </w:rPr>
                </w:pPr>
                <w:r>
                  <w:rPr>
                    <w:rFonts w:ascii="SimSun" w:hAnsi="SimSun" w:eastAsia="SimSun" w:cs="SimSun"/>
                    <w:spacing w:val="-1"/>
                    <w:sz w:val="32"/>
                    <w:szCs w:val="32"/>
                  </w:rPr>
                  <w:t>国家药监局</w:t>
                </w:r>
              </w:p>
              <w:p>
                <w:pPr>
                  <w:spacing w:before="307" w:line="219" w:lineRule="auto"/>
                  <w:ind w:left="20"/>
                  <w:rPr>
                    <w:rFonts w:ascii="SimSun" w:hAnsi="SimSun" w:eastAsia="SimSun" w:cs="SimSun"/>
                    <w:sz w:val="32"/>
                    <w:szCs w:val="32"/>
                  </w:rPr>
                </w:pPr>
                <w:r>
                  <w:rPr>
                    <w:rFonts w:ascii="SimSun" w:hAnsi="SimSun" w:eastAsia="SimSun" w:cs="SimSun"/>
                    <w:spacing w:val="33"/>
                    <w:sz w:val="32"/>
                    <w:szCs w:val="32"/>
                  </w:rPr>
                  <w:t>2022年11月30日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7FC6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2022-12-19T20:36:00Z</dcterms:created>
  <dc:creator>Kingsoft-PDF</dc:creator>
  <cp:lastModifiedBy>baixin</cp:lastModifiedBy>
  <dcterms:modified xsi:type="dcterms:W3CDTF">2022-12-19T12:42:33Z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2022-12-19T12:36:41Z</vt:filetime>
  </property>
  <property fmtid="{D5CDD505-2E9C-101B-9397-08002B2CF9AE}" pid="4" name="UsrData">
    <vt:lpwstr>639fea4b7e63a6001576bcfc</vt:lpwstr>
  </property>
  <property fmtid="{D5CDD505-2E9C-101B-9397-08002B2CF9AE}" pid="5" name="KSOProductBuildVer">
    <vt:lpwstr>2052-11.8.2.9695</vt:lpwstr>
  </property>
</Properties>
</file>