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71" w:rsidRPr="00570F71" w:rsidRDefault="00570F71" w:rsidP="00570F71">
      <w:pPr>
        <w:adjustRightInd w:val="0"/>
        <w:snapToGrid w:val="0"/>
        <w:rPr>
          <w:rFonts w:ascii="黑体" w:eastAsia="黑体" w:hAnsi="黑体"/>
          <w:snapToGrid w:val="0"/>
          <w:spacing w:val="20"/>
          <w:kern w:val="0"/>
          <w:sz w:val="32"/>
          <w:szCs w:val="32"/>
          <w:lang w:val="en"/>
        </w:rPr>
      </w:pPr>
      <w:r w:rsidRPr="00570F71">
        <w:rPr>
          <w:rFonts w:ascii="黑体" w:eastAsia="黑体" w:hAnsi="黑体" w:hint="eastAsia"/>
          <w:snapToGrid w:val="0"/>
          <w:spacing w:val="20"/>
          <w:kern w:val="0"/>
          <w:sz w:val="32"/>
          <w:szCs w:val="32"/>
        </w:rPr>
        <w:t>附件2</w:t>
      </w:r>
    </w:p>
    <w:p w:rsidR="00570F71" w:rsidRPr="00570F71" w:rsidRDefault="00570F71" w:rsidP="00570F71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 w:rsidRPr="00570F71">
        <w:rPr>
          <w:rFonts w:ascii="黑体" w:eastAsia="黑体" w:hint="eastAsia"/>
          <w:spacing w:val="-25"/>
          <w:sz w:val="32"/>
          <w:szCs w:val="32"/>
        </w:rPr>
        <w:t xml:space="preserve"> </w:t>
      </w:r>
      <w:r w:rsidRPr="00570F71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营养健康餐厅建设评价细则</w:t>
      </w:r>
    </w:p>
    <w:tbl>
      <w:tblPr>
        <w:tblW w:w="5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710"/>
        <w:gridCol w:w="2286"/>
        <w:gridCol w:w="802"/>
        <w:gridCol w:w="4249"/>
        <w:gridCol w:w="928"/>
        <w:gridCol w:w="871"/>
        <w:gridCol w:w="862"/>
      </w:tblGrid>
      <w:tr w:rsidR="00570F71" w:rsidRPr="00570F71" w:rsidTr="007C519E">
        <w:trPr>
          <w:trHeight w:val="389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bookmarkStart w:id="0" w:name="_Hlk79391766"/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评价项目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评价内容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评价方式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分值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评分原则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得分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备注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55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基本要求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24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仿宋_GB2312" w:eastAsia="仿宋_GB2312" w:hAnsi="仿宋_GB2312" w:cs="仿宋_GB2312" w:hint="eastAsia"/>
                <w:snapToGrid w:val="0"/>
                <w:kern w:val="0"/>
                <w:szCs w:val="21"/>
              </w:rPr>
              <w:t>1.取得《食品经营许可证》，量化分级B级以上，并在餐厅显著位置进行公示。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有《食品经营许可证》，得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量化分级达到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B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级以上，得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在餐厅显著位置公示，得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95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年未发生食品安全事故，连续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年未受过食品安全行政处罚。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“自治区食品安全智慧监管平台”查询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未查询到连续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年发生食品安全事故记录，得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未查询到连续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年受过食品安全行政处罚记录，得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2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至少配备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名有资质的专（兼）职营养师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档案资料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(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聘书、证书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配备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名有资质的专（兼）职营养师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2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4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每年至少开展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次形式多样的营养健康知识宣传活动。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现场查看活动资料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有活动总结等文字资料，得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有活动照片或视频等影像资料，得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2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按照《餐饮食品营养标识指南》对所提供的餐饮食品进行营养标示；对所提供的自制饮料或甜品，应进行添加糖含量标示。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提供的餐饮食品有营养标示，得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分；营养标示规范，得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提供的自制饮料或甜品有添加糖含量标示，得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8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建立防范和抵制食物浪费制度，并采取实施光盘行动，提供小份或半份菜品、经济型套餐等措施予以落实。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现场查看，查看资料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建立防范食物浪费制度，得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有光盘行动宣传或措施，得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提供小份或半份菜品，得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提供经济型套餐，得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557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禁止非法食用、交易野生动物，落实卫生防疫相关规定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和要求。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按规定落实卫生防疫要求，得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17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8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餐厅实施垃圾分类。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实施垃圾分类，得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81"/>
          <w:jc w:val="center"/>
        </w:trPr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9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餐厅为无烟餐厅，设置禁止吸烟标识。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设有禁止吸烟标识，得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6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lastRenderedPageBreak/>
              <w:t>组织管理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7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设立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由餐厅负责人承担主体责任的营养健康餐厅建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设工作组。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现场查看文件、组织机构网络图等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有文件或网络图，得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有建设分工及责任人，得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99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编制和实施年度营养健康餐厅建设与运行计划，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将营养健康餐厅建设列入管理目标，配备场地、设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施、人员、技术、资金等支撑条件。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有管理目标，得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有支持措施，得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78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制定建设和运行营养健康餐厅所需的组织管理细则、营养健康相关工作和岗位责任制度、监督管理制度等，并公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告。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现场检查各项记录资料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有管理细则，得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有岗位责任制度，得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有监督管理制度，得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对管理细则及相关制度进行公告，得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09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建立原材料采购制度，保障餐厅所用食材种类丰富、新鲜。减少腌制、腊制及动物油脂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类食材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的使用。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现场查看记录资料、菜单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有原材料采购制度，得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分；有原材料采购记录，得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菜单中不提供或少量提供使用腌制、腊制及动物油脂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类食材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的菜品，得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1116"/>
          <w:jc w:val="center"/>
        </w:trPr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建立油盐糖（包括含油盐糖的各种调味品）使用登记制度，并每月统计人均消费量，逐步减少菜品的油盐糖用量和消费者人均油盐糖摄入量。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有油盐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糖使用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登记制度，得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分；有油盐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糖使用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有每月油盐糖人均消费量统计记录，得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每月菜品油用量或消费者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油人均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摄入量呈下降趋势，得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分；盐用量或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盐人均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摄入量呈下降趋势，得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分；糖用量或糖人均摄入量呈下降趋势，得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50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人员培训和考核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13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餐厅负责人和营养师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</w:t>
            </w:r>
            <w:r w:rsidRPr="00570F71">
              <w:rPr>
                <w:rFonts w:ascii="宋体" w:eastAsia="仿宋_GB2312" w:hAnsi="宋体" w:hint="eastAsia"/>
                <w:snapToGrid w:val="0"/>
                <w:spacing w:val="-11"/>
                <w:kern w:val="0"/>
                <w:szCs w:val="21"/>
              </w:rPr>
              <w:t>每年应接受不少于</w:t>
            </w:r>
            <w:r w:rsidRPr="00570F71">
              <w:rPr>
                <w:rFonts w:ascii="宋体" w:eastAsia="仿宋_GB2312" w:hAnsi="宋体" w:hint="eastAsia"/>
                <w:snapToGrid w:val="0"/>
                <w:spacing w:val="-11"/>
                <w:kern w:val="0"/>
                <w:szCs w:val="21"/>
              </w:rPr>
              <w:t>16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学时的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营养健康知识、食品安全知识和防控传染病技能培训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现场查看资料、培训记录等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餐厅负责人每年接受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学时的培训，得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营养指导员每年接受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学时的培训，得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74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厨师每年至少参加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次营养健康知识、食品安全知识和防控传染病技能培训；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次低盐、低油、低糖菜品制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作技能培训。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现场查看资料、培训记录等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有参加营养健康知识等培训记录，得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有参加菜品制作技能培训记录，得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274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营养指导员每年至少组织开展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次服务员营养健康知识培训，内容包括餐厅菜品营养特点、菜品营养标示解读、合理膳食知识等。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现场查看培训记录资料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培训内容有餐厅菜品营养特点，得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分；有菜品营养标示解读，得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分；有合理膳食知识，得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66"/>
          <w:jc w:val="center"/>
        </w:trPr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8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餐厅负责人、营养师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营养指导员、厨师和服务员每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年进行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次岗位能力自我测评和考核。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查看测评记录、考核记录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餐厅负责人有考评记录，得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分；厨师有考评记录，得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分；服务员有考评记录，得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.5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90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营养健康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环境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9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充分利用菜单、餐具包装、订餐卡等宣传营养健康、传染病防控和文明用餐等知识。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在菜单上宣传营养健康等知识，得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在餐具包装上宣传营养健康等知识，得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在订餐卡上宣传营养健康等知识，得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44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在就餐场所摆放、张贴或滚动播放营养膳食指导相关宣传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资料，并适时更新。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在就餐场所摆放、张贴或滚动播放膳食营养宣传资料，得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营养膳食宣传资料内容中有当下热点信息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新知识，得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61"/>
          <w:jc w:val="center"/>
        </w:trPr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在餐厅显著位置宣传《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中国居民膳食指南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》和中国居民平衡膳食宝塔。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在显著位置摆放或张贴《中国居民膳食指南》折页和中国居民平衡膳食宝塔，得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61"/>
          <w:jc w:val="center"/>
        </w:trPr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每年对消费者至少开展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</w:t>
            </w:r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营养健康主题科普宣教活动。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现场查看活动记录、照片、多媒体等资料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每年开展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次主题宣教活动，得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分；每年开展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次及以上主题宣教活动，得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990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配餐和烹饪要求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营养指导员应提供营养配餐服务，制定菜单和菜品制作标准。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指导制定菜单和菜品制作标准，得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分；能体现合理膳食原则，得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73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24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提供能量及营养均衡的标准化套餐。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现场查看、评价套餐营养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提供标准化套餐，得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达到能量及营养均衡，得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73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优先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采用蒸、煮、炖等可减少营养成分损失和保持自然风味的烹饪方法，少用炸、煎、熏、烤等烹饪方式。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现场询问厨师、查看菜单等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菜单上采用蒸、煮、炖等烹饪方式的菜品达到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1/3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分；采用炸、煎、熏、烤等烹饪方式的菜品少于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1/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673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菜单中提供全谷物、奶类、新鲜水果、低糖或无糖饮料等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供消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费者选择。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现场查看菜单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菜单中有全谷物、奶类、新鲜水果、低糖或无糖饮料等，得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16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7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不断创新改良菜品，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对低盐、低脂、低糖菜品进行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醒目标示，菜单中低盐、低脂、低糖菜品不少于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现场查看菜单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对低盐、低脂、低糖菜品在菜单中进行醒目标示，得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菜单上低盐、低脂、低糖菜品中任一项或二项及以上达到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5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种，得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724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lastRenderedPageBreak/>
              <w:t>供餐服务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要求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8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服务员能引导消费者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合理点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spacing w:val="-6"/>
                <w:kern w:val="0"/>
                <w:szCs w:val="21"/>
              </w:rPr>
              <w:t>餐，主动介绍菜品营养特点，推荐低盐、低脂、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低糖菜品。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现场问询、考察服务员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能引导消费者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合理点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能介绍菜品营养特点，得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20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29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依据餐厅和菜品特点，推广分餐制。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有分餐或提供公筷，得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09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30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提供免费白开水或直饮水。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提供白开水或直饮水，得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20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配备洗手、消毒设备或用品。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提供洗手、消毒设备或用品，得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座位间保持适当距离，避免高密度聚集用餐。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座位间保持适当距离，得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加分项</w:t>
            </w:r>
          </w:p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（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/>
                <w:b/>
                <w:bCs/>
                <w:snapToGrid w:val="0"/>
                <w:kern w:val="0"/>
                <w:szCs w:val="21"/>
              </w:rPr>
              <w:t>0</w:t>
            </w:r>
            <w:r w:rsidRPr="00570F71">
              <w:rPr>
                <w:rFonts w:ascii="宋体" w:eastAsia="仿宋_GB2312" w:hAnsi="宋体" w:hint="eastAsia"/>
                <w:b/>
                <w:bCs/>
                <w:snapToGrid w:val="0"/>
                <w:kern w:val="0"/>
                <w:szCs w:val="21"/>
              </w:rPr>
              <w:t>分）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建成运行“互联网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+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明厨亮灶”，构建问题自动发现、自动</w:t>
            </w:r>
            <w:proofErr w:type="gramStart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研</w:t>
            </w:r>
            <w:proofErr w:type="gramEnd"/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判、自动跟踪和自动反馈的新型食品安全管理模式，实现与“自治区食品安全智慧监管平台”对接。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采用“互联网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+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明厨亮灶”，得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完成系统对接，得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4.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采用信息化手段，采集、留存食品原料采购、食物贮存及食品加工制作等信息，保证食品可追溯。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现场检查、查看记录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有信息化手段、可追溯食品安全相关信息，得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5.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餐厅采取油水分离处理措施。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有油水分离措施，得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3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6.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菜品油盐糖用量或消费者油盐糖人均摄入量达到《中国居民膳食指南》推荐量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现场查看文件资料、测评油盐糖用量或人均摄入量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油、盐、糖中任一项的用量或人均摄入量达到《中国居民膳食指南》推荐量，得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37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.</w:t>
            </w:r>
            <w:r w:rsidRPr="00570F71">
              <w:rPr>
                <w:rFonts w:ascii="宋体" w:eastAsia="仿宋_GB2312" w:hAnsi="宋体" w:hint="eastAsia"/>
                <w:snapToGrid w:val="0"/>
                <w:spacing w:val="6"/>
                <w:kern w:val="0"/>
                <w:szCs w:val="21"/>
              </w:rPr>
              <w:t>推出适合老年人、儿童、肥胖者、高血压、糖尿病等特殊人群的菜品，并在菜单中介绍菜品的营养特点。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现场查看菜单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菜单中有针对老年人和儿童的菜品，并介绍营养特点，得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分；有针对肥胖人群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高血压人群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/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糖尿病人群的菜品，并介绍营养特点，得</w:t>
            </w:r>
            <w:r w:rsidRPr="00570F71">
              <w:rPr>
                <w:rFonts w:ascii="宋体" w:eastAsia="仿宋_GB2312" w:hAnsi="宋体"/>
                <w:snapToGrid w:val="0"/>
                <w:kern w:val="0"/>
                <w:szCs w:val="21"/>
              </w:rPr>
              <w:t>1</w:t>
            </w: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分</w:t>
            </w:r>
          </w:p>
          <w:p w:rsidR="00570F71" w:rsidRPr="00570F71" w:rsidRDefault="00570F71" w:rsidP="00570F71">
            <w:pPr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  <w:tr w:rsidR="00570F71" w:rsidRPr="00570F71" w:rsidTr="007C519E">
        <w:trPr>
          <w:trHeight w:val="471"/>
          <w:jc w:val="center"/>
        </w:trPr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  <w:r w:rsidRPr="00570F71">
              <w:rPr>
                <w:rFonts w:ascii="宋体" w:eastAsia="仿宋_GB2312" w:hAnsi="宋体" w:hint="eastAsia"/>
                <w:snapToGrid w:val="0"/>
                <w:kern w:val="0"/>
                <w:szCs w:val="21"/>
              </w:rPr>
              <w:t>总得分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71" w:rsidRPr="00570F71" w:rsidRDefault="00570F71" w:rsidP="00570F71">
            <w:pPr>
              <w:jc w:val="center"/>
              <w:rPr>
                <w:rFonts w:ascii="宋体" w:eastAsia="仿宋_GB2312" w:hAnsi="宋体"/>
                <w:snapToGrid w:val="0"/>
                <w:kern w:val="0"/>
                <w:szCs w:val="21"/>
              </w:rPr>
            </w:pPr>
          </w:p>
        </w:tc>
      </w:tr>
    </w:tbl>
    <w:bookmarkEnd w:id="0"/>
    <w:p w:rsidR="00570F71" w:rsidRPr="00570F71" w:rsidRDefault="00570F71" w:rsidP="00570F71">
      <w:pPr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 w:rsidRPr="00570F71">
        <w:rPr>
          <w:rFonts w:ascii="仿宋_GB2312" w:eastAsia="仿宋_GB2312" w:hAnsi="仿宋_GB2312" w:cs="仿宋_GB2312" w:hint="eastAsia"/>
          <w:b/>
          <w:bCs/>
          <w:snapToGrid w:val="0"/>
          <w:kern w:val="0"/>
          <w:szCs w:val="21"/>
        </w:rPr>
        <w:t>说明：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1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.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总分1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0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0分，实际得分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80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分（含）以上为合格。</w:t>
      </w:r>
    </w:p>
    <w:p w:rsidR="00570F71" w:rsidRPr="00570F71" w:rsidRDefault="00570F71" w:rsidP="00570F71">
      <w:pPr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 xml:space="preserve"> 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 xml:space="preserve">     </w:t>
      </w:r>
      <w:bookmarkStart w:id="1" w:name="_Hlk84278227"/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>2.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建设单位</w:t>
      </w:r>
      <w:proofErr w:type="gramStart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在此表基础</w:t>
      </w:r>
      <w:proofErr w:type="gramEnd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上添加自评人员签字和自评日期，形成自评表。自评人员建议由餐厅分管食品安全与营养健康负责人、餐厅营养师或营养指导员等组成。</w:t>
      </w:r>
    </w:p>
    <w:p w:rsidR="00570F71" w:rsidRPr="00570F71" w:rsidRDefault="00570F71" w:rsidP="00570F71">
      <w:pPr>
        <w:jc w:val="left"/>
        <w:rPr>
          <w:rFonts w:ascii="仿宋_GB2312" w:eastAsia="仿宋_GB2312" w:hAnsi="仿宋_GB2312" w:cs="仿宋_GB2312"/>
          <w:spacing w:val="-11"/>
          <w:szCs w:val="21"/>
        </w:rPr>
      </w:pP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 xml:space="preserve"> </w:t>
      </w:r>
      <w:r w:rsidRPr="00570F71">
        <w:rPr>
          <w:rFonts w:ascii="仿宋_GB2312" w:eastAsia="仿宋_GB2312" w:hAnsi="仿宋_GB2312" w:cs="仿宋_GB2312"/>
          <w:snapToGrid w:val="0"/>
          <w:kern w:val="0"/>
          <w:szCs w:val="21"/>
        </w:rPr>
        <w:t xml:space="preserve">     3.</w:t>
      </w:r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评价验收单位</w:t>
      </w:r>
      <w:proofErr w:type="gramStart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在此表基础</w:t>
      </w:r>
      <w:proofErr w:type="gramEnd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上添加评价人员签字和评价日期，形成评价表。评价人员建议由卫生健康部门营养专家、商务部</w:t>
      </w:r>
      <w:proofErr w:type="gramStart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门相关</w:t>
      </w:r>
      <w:proofErr w:type="gramEnd"/>
      <w:r w:rsidRPr="00570F71"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专家、市场监管部门相关专家等组成。</w:t>
      </w:r>
    </w:p>
    <w:bookmarkEnd w:id="1"/>
    <w:p w:rsidR="00570F71" w:rsidRPr="00570F71" w:rsidRDefault="00570F71" w:rsidP="00570F71">
      <w:pPr>
        <w:spacing w:line="400" w:lineRule="exact"/>
        <w:rPr>
          <w:rFonts w:ascii="Times New Roman"/>
          <w:sz w:val="19"/>
        </w:rPr>
        <w:sectPr w:rsidR="00570F71" w:rsidRPr="00570F71">
          <w:footerReference w:type="default" r:id="rId7"/>
          <w:pgSz w:w="16840" w:h="11910" w:orient="landscape"/>
          <w:pgMar w:top="1440" w:right="1800" w:bottom="1440" w:left="1800" w:header="720" w:footer="720" w:gutter="0"/>
          <w:pgNumType w:fmt="numberInDash"/>
          <w:cols w:space="720"/>
        </w:sectPr>
      </w:pPr>
    </w:p>
    <w:p w:rsidR="008B08CF" w:rsidRPr="00570F71" w:rsidRDefault="008B08CF" w:rsidP="00345DE5">
      <w:pPr>
        <w:spacing w:before="55"/>
      </w:pPr>
      <w:bookmarkStart w:id="2" w:name="_GoBack"/>
      <w:bookmarkEnd w:id="2"/>
    </w:p>
    <w:sectPr w:rsidR="008B08CF" w:rsidRPr="00570F71" w:rsidSect="00345DE5">
      <w:footerReference w:type="default" r:id="rId8"/>
      <w:pgSz w:w="11910" w:h="16840"/>
      <w:pgMar w:top="1580" w:right="1200" w:bottom="280" w:left="1340" w:header="720" w:footer="720" w:gutter="0"/>
      <w:pgNumType w:fmt="numberInDash"/>
      <w:cols w:num="2" w:space="698" w:equalWidth="0">
        <w:col w:w="1111" w:space="698"/>
        <w:col w:w="75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A8" w:rsidRDefault="00195AA8" w:rsidP="00FD44C8">
      <w:r>
        <w:separator/>
      </w:r>
    </w:p>
  </w:endnote>
  <w:endnote w:type="continuationSeparator" w:id="0">
    <w:p w:rsidR="00195AA8" w:rsidRDefault="00195AA8" w:rsidP="00F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2FBBC" wp14:editId="10D01F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5DE5" w:rsidRPr="00345DE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q3wQ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71Kq&#10;t8ECAACy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45DE5" w:rsidRPr="00345DE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6E055" wp14:editId="400904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5DE5" w:rsidRPr="00345DE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rowQIAALk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OVZK&#10;6MECAAC5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45DE5" w:rsidRPr="00345DE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A8" w:rsidRDefault="00195AA8" w:rsidP="00FD44C8">
      <w:r>
        <w:separator/>
      </w:r>
    </w:p>
  </w:footnote>
  <w:footnote w:type="continuationSeparator" w:id="0">
    <w:p w:rsidR="00195AA8" w:rsidRDefault="00195AA8" w:rsidP="00FD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8"/>
    <w:rsid w:val="00195AA8"/>
    <w:rsid w:val="002B56D2"/>
    <w:rsid w:val="00345DE5"/>
    <w:rsid w:val="00570F71"/>
    <w:rsid w:val="006530F4"/>
    <w:rsid w:val="007A2CD8"/>
    <w:rsid w:val="0082659A"/>
    <w:rsid w:val="008B08CF"/>
    <w:rsid w:val="00D1179C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3234</Characters>
  <Application>Microsoft Office Word</Application>
  <DocSecurity>0</DocSecurity>
  <Lines>26</Lines>
  <Paragraphs>7</Paragraphs>
  <ScaleCrop>false</ScaleCrop>
  <Company>新疆卫生厅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2023-02-10T09:55:00Z</dcterms:created>
  <dcterms:modified xsi:type="dcterms:W3CDTF">2023-02-10T09:58:00Z</dcterms:modified>
</cp:coreProperties>
</file>