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adjustRightInd w:val="0"/>
        <w:snapToGrid w:val="0"/>
        <w:spacing w:line="560" w:lineRule="exact"/>
        <w:ind w:right="0" w:rightChars="0"/>
        <w:jc w:val="both"/>
        <w:textAlignment w:val="auto"/>
        <w:rPr>
          <w:rStyle w:val="6"/>
          <w:rFonts w:hint="eastAsia" w:ascii="黑体" w:hAnsi="黑体" w:eastAsia="黑体" w:cs="黑体"/>
          <w:b w:val="0"/>
          <w:color w:val="auto"/>
          <w:spacing w:val="0"/>
          <w:sz w:val="32"/>
          <w:szCs w:val="32"/>
          <w:highlight w:val="none"/>
          <w:lang w:val="en-US" w:eastAsia="zh-CN"/>
        </w:rPr>
      </w:pPr>
      <w:bookmarkStart w:id="0" w:name="_GoBack"/>
      <w:r>
        <w:rPr>
          <w:rStyle w:val="6"/>
          <w:rFonts w:hint="eastAsia" w:ascii="黑体" w:hAnsi="黑体" w:eastAsia="黑体" w:cs="黑体"/>
          <w:b w:val="0"/>
          <w:color w:val="auto"/>
          <w:spacing w:val="0"/>
          <w:sz w:val="32"/>
          <w:szCs w:val="32"/>
          <w:highlight w:val="none"/>
          <w:lang w:eastAsia="zh-CN"/>
        </w:rPr>
        <w:t>附件</w:t>
      </w:r>
    </w:p>
    <w:p>
      <w:pPr>
        <w:pStyle w:val="2"/>
        <w:rPr>
          <w:rFonts w:hint="default"/>
          <w:color w:val="auto"/>
          <w:lang w:val="en-US" w:eastAsia="zh-CN"/>
        </w:rPr>
      </w:pPr>
    </w:p>
    <w:p>
      <w:pPr>
        <w:keepNext w:val="0"/>
        <w:keepLines w:val="0"/>
        <w:pageBreakBefore w:val="0"/>
        <w:widowControl w:val="0"/>
        <w:kinsoku/>
        <w:wordWrap/>
        <w:overflowPunct/>
        <w:topLinePunct w:val="0"/>
        <w:bidi w:val="0"/>
        <w:adjustRightInd w:val="0"/>
        <w:snapToGrid w:val="0"/>
        <w:spacing w:line="560" w:lineRule="exact"/>
        <w:ind w:right="0" w:rightChars="0"/>
        <w:jc w:val="center"/>
        <w:textAlignment w:val="auto"/>
        <w:rPr>
          <w:rStyle w:val="6"/>
          <w:rFonts w:ascii="方正小标宋简体" w:hAnsi="仿宋_GB2312" w:eastAsia="方正小标宋简体" w:cs="仿宋_GB2312"/>
          <w:b w:val="0"/>
          <w:color w:val="auto"/>
          <w:spacing w:val="0"/>
          <w:sz w:val="44"/>
          <w:szCs w:val="44"/>
          <w:highlight w:val="none"/>
        </w:rPr>
      </w:pPr>
      <w:r>
        <w:rPr>
          <w:rStyle w:val="6"/>
          <w:rFonts w:hint="eastAsia" w:ascii="方正小标宋简体" w:hAnsi="仿宋_GB2312" w:eastAsia="方正小标宋简体" w:cs="仿宋_GB2312"/>
          <w:b w:val="0"/>
          <w:color w:val="auto"/>
          <w:spacing w:val="0"/>
          <w:sz w:val="44"/>
          <w:szCs w:val="44"/>
          <w:highlight w:val="none"/>
        </w:rPr>
        <w:t>宁夏回族自治区职工基本医疗保险门诊</w:t>
      </w:r>
    </w:p>
    <w:p>
      <w:pPr>
        <w:keepNext w:val="0"/>
        <w:keepLines w:val="0"/>
        <w:pageBreakBefore w:val="0"/>
        <w:widowControl w:val="0"/>
        <w:kinsoku/>
        <w:wordWrap/>
        <w:overflowPunct/>
        <w:topLinePunct w:val="0"/>
        <w:bidi w:val="0"/>
        <w:adjustRightInd w:val="0"/>
        <w:snapToGrid w:val="0"/>
        <w:spacing w:line="560" w:lineRule="exact"/>
        <w:ind w:right="0" w:rightChars="0"/>
        <w:jc w:val="center"/>
        <w:textAlignment w:val="auto"/>
        <w:rPr>
          <w:rStyle w:val="6"/>
          <w:rFonts w:hint="eastAsia" w:ascii="方正小标宋简体" w:hAnsi="仿宋_GB2312" w:eastAsia="方正小标宋简体" w:cs="仿宋_GB2312"/>
          <w:b w:val="0"/>
          <w:color w:val="auto"/>
          <w:spacing w:val="0"/>
          <w:sz w:val="44"/>
          <w:szCs w:val="44"/>
          <w:highlight w:val="none"/>
        </w:rPr>
      </w:pPr>
      <w:r>
        <w:rPr>
          <w:rStyle w:val="6"/>
          <w:rFonts w:hint="eastAsia" w:ascii="方正小标宋简体" w:hAnsi="仿宋_GB2312" w:eastAsia="方正小标宋简体" w:cs="仿宋_GB2312"/>
          <w:b w:val="0"/>
          <w:color w:val="auto"/>
          <w:spacing w:val="0"/>
          <w:sz w:val="44"/>
          <w:szCs w:val="44"/>
          <w:highlight w:val="none"/>
        </w:rPr>
        <w:t>共济保障</w:t>
      </w:r>
      <w:r>
        <w:rPr>
          <w:rStyle w:val="6"/>
          <w:rFonts w:hint="eastAsia" w:ascii="方正小标宋简体" w:hAnsi="仿宋_GB2312" w:eastAsia="方正小标宋简体" w:cs="仿宋_GB2312"/>
          <w:b w:val="0"/>
          <w:color w:val="auto"/>
          <w:spacing w:val="0"/>
          <w:sz w:val="44"/>
          <w:szCs w:val="44"/>
          <w:highlight w:val="none"/>
          <w:lang w:eastAsia="zh-CN"/>
        </w:rPr>
        <w:t>实施</w:t>
      </w:r>
      <w:r>
        <w:rPr>
          <w:rStyle w:val="6"/>
          <w:rFonts w:hint="eastAsia" w:ascii="方正小标宋简体" w:hAnsi="仿宋_GB2312" w:eastAsia="方正小标宋简体" w:cs="仿宋_GB2312"/>
          <w:b w:val="0"/>
          <w:color w:val="auto"/>
          <w:spacing w:val="0"/>
          <w:sz w:val="44"/>
          <w:szCs w:val="44"/>
          <w:highlight w:val="none"/>
        </w:rPr>
        <w:t>办法</w:t>
      </w:r>
    </w:p>
    <w:p>
      <w:pPr>
        <w:keepNext w:val="0"/>
        <w:keepLines w:val="0"/>
        <w:pageBreakBefore w:val="0"/>
        <w:widowControl w:val="0"/>
        <w:kinsoku/>
        <w:wordWrap/>
        <w:overflowPunct/>
        <w:topLinePunct w:val="0"/>
        <w:bidi w:val="0"/>
        <w:adjustRightInd w:val="0"/>
        <w:snapToGrid w:val="0"/>
        <w:spacing w:line="560" w:lineRule="exact"/>
        <w:ind w:right="0" w:rightChars="0" w:firstLine="0" w:firstLineChars="0"/>
        <w:jc w:val="center"/>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（征求意见稿）</w:t>
      </w:r>
    </w:p>
    <w:p>
      <w:pPr>
        <w:pStyle w:val="2"/>
        <w:rPr>
          <w:rFonts w:hint="eastAsia"/>
          <w:color w:val="auto"/>
        </w:rPr>
      </w:pPr>
    </w:p>
    <w:p>
      <w:pPr>
        <w:keepNext w:val="0"/>
        <w:keepLines w:val="0"/>
        <w:pageBreakBefore w:val="0"/>
        <w:widowControl w:val="0"/>
        <w:kinsoku/>
        <w:wordWrap/>
        <w:overflowPunct/>
        <w:topLinePunct w:val="0"/>
        <w:bidi w:val="0"/>
        <w:adjustRightInd w:val="0"/>
        <w:snapToGrid w:val="0"/>
        <w:spacing w:line="580" w:lineRule="atLeast"/>
        <w:ind w:right="0" w:rightChars="0" w:firstLine="0" w:firstLineChars="0"/>
        <w:jc w:val="center"/>
        <w:textAlignment w:val="auto"/>
        <w:rPr>
          <w:rFonts w:ascii="黑体" w:hAnsi="黑体" w:eastAsia="黑体" w:cs="仿宋_GB2312"/>
          <w:color w:val="auto"/>
          <w:spacing w:val="0"/>
          <w:kern w:val="2"/>
          <w:sz w:val="32"/>
          <w:szCs w:val="32"/>
          <w:highlight w:val="none"/>
          <w:lang w:val="en-US" w:eastAsia="zh-CN" w:bidi="ar-SA"/>
        </w:rPr>
      </w:pPr>
      <w:r>
        <w:rPr>
          <w:rFonts w:hint="eastAsia" w:ascii="黑体" w:hAnsi="黑体" w:eastAsia="黑体" w:cs="仿宋_GB2312"/>
          <w:b w:val="0"/>
          <w:bCs w:val="0"/>
          <w:color w:val="auto"/>
          <w:spacing w:val="0"/>
          <w:kern w:val="2"/>
          <w:sz w:val="32"/>
          <w:szCs w:val="32"/>
          <w:highlight w:val="none"/>
          <w:lang w:val="en-US" w:eastAsia="zh-CN" w:bidi="ar-SA"/>
        </w:rPr>
        <w:t>第一章 总则</w:t>
      </w:r>
    </w:p>
    <w:p>
      <w:pPr>
        <w:keepNext w:val="0"/>
        <w:keepLines w:val="0"/>
        <w:pageBreakBefore w:val="0"/>
        <w:widowControl w:val="0"/>
        <w:kinsoku/>
        <w:wordWrap/>
        <w:overflowPunct/>
        <w:topLinePunct w:val="0"/>
        <w:bidi w:val="0"/>
        <w:adjustRightInd w:val="0"/>
        <w:snapToGrid w:val="0"/>
        <w:spacing w:line="580" w:lineRule="atLeast"/>
        <w:ind w:right="0" w:rightChars="0" w:firstLine="642" w:firstLineChars="200"/>
        <w:textAlignment w:val="auto"/>
        <w:rPr>
          <w:rFonts w:hint="eastAsia" w:ascii="仿宋_GB2312" w:hAnsi="Times New Roman" w:eastAsia="仿宋_GB2312"/>
          <w:color w:val="auto"/>
          <w:spacing w:val="0"/>
          <w:sz w:val="32"/>
          <w:szCs w:val="32"/>
          <w:highlight w:val="none"/>
          <w:shd w:val="clear" w:color="auto" w:fill="FFFFFF"/>
        </w:rPr>
      </w:pPr>
      <w:r>
        <w:rPr>
          <w:rFonts w:hint="eastAsia" w:ascii="仿宋_GB2312" w:hAnsi="Times New Roman" w:eastAsia="仿宋_GB2312"/>
          <w:b/>
          <w:bCs/>
          <w:color w:val="auto"/>
          <w:spacing w:val="0"/>
          <w:sz w:val="32"/>
          <w:szCs w:val="32"/>
          <w:highlight w:val="none"/>
          <w:shd w:val="clear" w:color="auto" w:fill="FFFFFF"/>
        </w:rPr>
        <w:t xml:space="preserve">第一条  </w:t>
      </w:r>
      <w:r>
        <w:rPr>
          <w:rFonts w:hint="eastAsia" w:ascii="仿宋_GB2312" w:hAnsi="Times New Roman" w:eastAsia="仿宋_GB2312"/>
          <w:color w:val="auto"/>
          <w:spacing w:val="0"/>
          <w:sz w:val="32"/>
          <w:szCs w:val="32"/>
          <w:highlight w:val="none"/>
          <w:shd w:val="clear" w:color="auto" w:fill="FFFFFF"/>
        </w:rPr>
        <w:t>为进一步健全互助共济、责任共担的职工基本医疗保险（以下简称职工医保）制度</w:t>
      </w:r>
      <w:r>
        <w:rPr>
          <w:rFonts w:hint="eastAsia" w:ascii="仿宋_GB2312" w:hAnsi="Times New Roman" w:eastAsia="仿宋_GB2312"/>
          <w:color w:val="auto"/>
          <w:spacing w:val="0"/>
          <w:sz w:val="32"/>
          <w:szCs w:val="32"/>
          <w:highlight w:val="none"/>
          <w:shd w:val="clear" w:color="auto" w:fill="FFFFFF"/>
          <w:lang w:eastAsia="zh-CN"/>
        </w:rPr>
        <w:t>，</w:t>
      </w:r>
      <w:r>
        <w:rPr>
          <w:rFonts w:hint="eastAsia" w:ascii="仿宋_GB2312" w:hAnsi="Times New Roman" w:eastAsia="仿宋_GB2312"/>
          <w:color w:val="auto"/>
          <w:spacing w:val="0"/>
          <w:sz w:val="32"/>
          <w:szCs w:val="32"/>
          <w:highlight w:val="none"/>
          <w:shd w:val="clear" w:color="auto" w:fill="FFFFFF"/>
          <w:lang w:val="en-US" w:eastAsia="zh-CN"/>
        </w:rPr>
        <w:t>优化调整门诊共济保障机制，</w:t>
      </w:r>
      <w:r>
        <w:rPr>
          <w:rFonts w:hint="eastAsia" w:ascii="仿宋_GB2312" w:hAnsi="Times New Roman" w:eastAsia="仿宋_GB2312"/>
          <w:color w:val="auto"/>
          <w:spacing w:val="0"/>
          <w:sz w:val="32"/>
          <w:szCs w:val="32"/>
          <w:highlight w:val="none"/>
          <w:shd w:val="clear" w:color="auto" w:fill="FFFFFF"/>
        </w:rPr>
        <w:t>更好解决职工医保全体参保人员（以下简称参保人员）门诊保障问题，切实减轻其医药费用负担，根据国务院办公厅《关于建立健全职工基本医疗保险门诊共济保障机制的指导意见》（国办发〔2021〕14号）、《自治区党委 人民政府印发〈关于深化医疗保障制度改革的实施意见〉的通知》（宁党发〔2021〕13号）、《自治区人民政府办公厅关于建立健全职工基本医疗保险门诊共济保障机制的实施意见》（宁政办规发〔2022〕3号）精神，结合我区实际，制定本办法。</w:t>
      </w:r>
    </w:p>
    <w:p>
      <w:pPr>
        <w:keepNext w:val="0"/>
        <w:keepLines w:val="0"/>
        <w:pageBreakBefore w:val="0"/>
        <w:widowControl w:val="0"/>
        <w:kinsoku/>
        <w:wordWrap/>
        <w:overflowPunct/>
        <w:topLinePunct w:val="0"/>
        <w:bidi w:val="0"/>
        <w:adjustRightInd w:val="0"/>
        <w:snapToGrid w:val="0"/>
        <w:spacing w:line="580" w:lineRule="atLeast"/>
        <w:ind w:right="0" w:rightChars="0" w:firstLine="642" w:firstLineChars="200"/>
        <w:textAlignment w:val="auto"/>
        <w:rPr>
          <w:rFonts w:hint="eastAsia" w:ascii="仿宋_GB2312" w:hAnsi="Times New Roman" w:eastAsia="仿宋_GB2312"/>
          <w:color w:val="auto"/>
          <w:spacing w:val="0"/>
          <w:sz w:val="32"/>
          <w:szCs w:val="32"/>
          <w:highlight w:val="none"/>
          <w:shd w:val="clear" w:color="auto" w:fill="FFFFFF"/>
        </w:rPr>
      </w:pPr>
      <w:r>
        <w:rPr>
          <w:rFonts w:hint="eastAsia" w:ascii="仿宋_GB2312" w:hAnsi="Times New Roman" w:eastAsia="仿宋_GB2312"/>
          <w:b/>
          <w:bCs/>
          <w:color w:val="auto"/>
          <w:spacing w:val="0"/>
          <w:sz w:val="32"/>
          <w:szCs w:val="32"/>
          <w:highlight w:val="none"/>
          <w:shd w:val="clear" w:color="auto" w:fill="FFFFFF"/>
        </w:rPr>
        <w:t xml:space="preserve">第二条  </w:t>
      </w:r>
      <w:r>
        <w:rPr>
          <w:rFonts w:hint="eastAsia" w:ascii="仿宋_GB2312" w:hAnsi="Times New Roman" w:eastAsia="仿宋_GB2312"/>
          <w:color w:val="auto"/>
          <w:spacing w:val="0"/>
          <w:sz w:val="32"/>
          <w:szCs w:val="32"/>
          <w:highlight w:val="none"/>
          <w:shd w:val="clear" w:color="auto" w:fill="FFFFFF"/>
        </w:rPr>
        <w:t>坚持保障基本、统筹共济，切实维护参保人员权益。坚持平稳过渡、衔接顺畅，确保改革前后政策连续性。坚持协同联动、同步推进，完善门诊保障机制和改进个人账户制度。坚持因地制宜、紧密结合我区实际，提高医保基金使用效率，逐步减轻参保人员门诊医疗费用负担。</w:t>
      </w:r>
    </w:p>
    <w:p>
      <w:pPr>
        <w:keepNext w:val="0"/>
        <w:keepLines w:val="0"/>
        <w:pageBreakBefore w:val="0"/>
        <w:widowControl w:val="0"/>
        <w:kinsoku/>
        <w:wordWrap/>
        <w:overflowPunct/>
        <w:topLinePunct w:val="0"/>
        <w:bidi w:val="0"/>
        <w:adjustRightInd w:val="0"/>
        <w:snapToGrid w:val="0"/>
        <w:spacing w:line="580" w:lineRule="atLeast"/>
        <w:ind w:right="0" w:rightChars="0" w:firstLine="642" w:firstLineChars="200"/>
        <w:textAlignment w:val="auto"/>
        <w:rPr>
          <w:rFonts w:hint="eastAsia" w:ascii="仿宋_GB2312" w:hAnsi="Times New Roman" w:eastAsia="仿宋_GB2312"/>
          <w:color w:val="auto"/>
          <w:spacing w:val="0"/>
          <w:sz w:val="32"/>
          <w:szCs w:val="32"/>
          <w:highlight w:val="none"/>
          <w:shd w:val="clear" w:color="auto" w:fill="FFFFFF"/>
        </w:rPr>
      </w:pPr>
      <w:r>
        <w:rPr>
          <w:rFonts w:hint="eastAsia" w:ascii="仿宋_GB2312" w:hAnsi="Times New Roman" w:eastAsia="仿宋_GB2312"/>
          <w:b/>
          <w:bCs/>
          <w:color w:val="auto"/>
          <w:spacing w:val="0"/>
          <w:sz w:val="32"/>
          <w:szCs w:val="32"/>
          <w:highlight w:val="none"/>
          <w:shd w:val="clear" w:color="auto" w:fill="FFFFFF"/>
        </w:rPr>
        <w:t xml:space="preserve">第三条  </w:t>
      </w:r>
      <w:r>
        <w:rPr>
          <w:rFonts w:hint="eastAsia" w:ascii="仿宋_GB2312" w:hAnsi="Times New Roman" w:eastAsia="仿宋_GB2312"/>
          <w:color w:val="auto"/>
          <w:spacing w:val="0"/>
          <w:sz w:val="32"/>
          <w:szCs w:val="32"/>
          <w:highlight w:val="none"/>
          <w:shd w:val="clear" w:color="auto" w:fill="FFFFFF"/>
        </w:rPr>
        <w:t>本办法所称门诊共济保障，</w:t>
      </w:r>
      <w:r>
        <w:rPr>
          <w:rFonts w:hint="eastAsia" w:ascii="仿宋_GB2312" w:hAnsi="Times New Roman" w:eastAsia="仿宋_GB2312"/>
          <w:color w:val="auto"/>
          <w:spacing w:val="0"/>
          <w:sz w:val="32"/>
          <w:szCs w:val="32"/>
          <w:highlight w:val="none"/>
          <w:shd w:val="clear" w:color="auto" w:fill="FFFFFF"/>
          <w:lang w:val="en"/>
        </w:rPr>
        <w:t>是指参保人员</w:t>
      </w:r>
      <w:r>
        <w:rPr>
          <w:rFonts w:hint="eastAsia" w:ascii="仿宋_GB2312" w:hAnsi="Times New Roman" w:eastAsia="仿宋_GB2312"/>
          <w:color w:val="auto"/>
          <w:spacing w:val="0"/>
          <w:sz w:val="32"/>
          <w:szCs w:val="32"/>
          <w:highlight w:val="none"/>
          <w:shd w:val="clear" w:color="auto" w:fill="FFFFFF"/>
          <w:lang w:val="en"/>
        </w:rPr>
        <w:t>在定点医</w:t>
      </w:r>
      <w:r>
        <w:rPr>
          <w:rFonts w:hint="eastAsia" w:ascii="仿宋_GB2312" w:hAnsi="Times New Roman" w:eastAsia="仿宋_GB2312"/>
          <w:color w:val="auto"/>
          <w:spacing w:val="0"/>
          <w:sz w:val="32"/>
          <w:szCs w:val="32"/>
          <w:highlight w:val="none"/>
          <w:shd w:val="clear" w:color="auto" w:fill="FFFFFF"/>
          <w:lang w:val="en-US" w:eastAsia="zh-CN"/>
        </w:rPr>
        <w:t>疗</w:t>
      </w:r>
      <w:r>
        <w:rPr>
          <w:rFonts w:hint="eastAsia" w:ascii="仿宋_GB2312" w:hAnsi="Times New Roman" w:eastAsia="仿宋_GB2312"/>
          <w:color w:val="auto"/>
          <w:spacing w:val="0"/>
          <w:sz w:val="32"/>
          <w:szCs w:val="32"/>
          <w:highlight w:val="none"/>
          <w:shd w:val="clear" w:color="auto" w:fill="FFFFFF"/>
          <w:lang w:val="en"/>
        </w:rPr>
        <w:t>机构门诊就医发生</w:t>
      </w:r>
      <w:r>
        <w:rPr>
          <w:rFonts w:hint="eastAsia" w:ascii="仿宋_GB2312" w:hAnsi="Times New Roman" w:eastAsia="仿宋_GB2312"/>
          <w:color w:val="auto"/>
          <w:spacing w:val="0"/>
          <w:sz w:val="32"/>
          <w:szCs w:val="32"/>
          <w:highlight w:val="none"/>
          <w:shd w:val="clear" w:color="auto" w:fill="FFFFFF"/>
        </w:rPr>
        <w:t>国家和自治区规定的</w:t>
      </w:r>
      <w:r>
        <w:rPr>
          <w:rFonts w:hint="eastAsia" w:ascii="仿宋_GB2312" w:hAnsi="Times New Roman" w:eastAsia="仿宋_GB2312"/>
          <w:color w:val="auto"/>
          <w:spacing w:val="0"/>
          <w:sz w:val="32"/>
          <w:szCs w:val="32"/>
          <w:highlight w:val="none"/>
          <w:shd w:val="clear" w:color="auto" w:fill="FFFFFF"/>
          <w:lang w:val="en-US" w:eastAsia="zh-CN"/>
        </w:rPr>
        <w:t>基本医</w:t>
      </w:r>
      <w:r>
        <w:rPr>
          <w:rFonts w:hint="eastAsia" w:ascii="仿宋_GB2312" w:hAnsi="Times New Roman" w:eastAsia="仿宋_GB2312"/>
          <w:color w:val="auto"/>
          <w:spacing w:val="0"/>
          <w:sz w:val="32"/>
          <w:szCs w:val="32"/>
          <w:highlight w:val="none"/>
          <w:shd w:val="clear" w:color="auto" w:fill="FFFFFF"/>
          <w:lang w:val="en-US" w:eastAsia="zh-CN"/>
        </w:rPr>
        <w:t>疗保险药品目录、基本医疗保险诊疗项目范围和目录、基本医疗保险服务设施和标准</w:t>
      </w:r>
      <w:r>
        <w:rPr>
          <w:rFonts w:hint="eastAsia" w:ascii="仿宋_GB2312" w:hAnsi="Times New Roman" w:eastAsia="仿宋_GB2312"/>
          <w:color w:val="auto"/>
          <w:spacing w:val="0"/>
          <w:sz w:val="32"/>
          <w:szCs w:val="32"/>
          <w:highlight w:val="none"/>
          <w:shd w:val="clear" w:color="auto" w:fill="FFFFFF"/>
        </w:rPr>
        <w:t>支付范围内的医疗费用，由职工医保统筹基金给予报销的制度安排，分为普通门诊统筹保障和门诊慢特病保障。定点</w:t>
      </w:r>
      <w:r>
        <w:rPr>
          <w:rFonts w:hint="eastAsia" w:ascii="仿宋_GB2312" w:hAnsi="Times New Roman" w:eastAsia="仿宋_GB2312"/>
          <w:color w:val="auto"/>
          <w:spacing w:val="0"/>
          <w:sz w:val="32"/>
          <w:szCs w:val="32"/>
          <w:highlight w:val="none"/>
          <w:shd w:val="clear" w:color="auto" w:fill="FFFFFF"/>
          <w:lang w:val="en-US" w:eastAsia="zh-CN"/>
        </w:rPr>
        <w:t>医</w:t>
      </w:r>
      <w:r>
        <w:rPr>
          <w:rFonts w:hint="eastAsia" w:ascii="仿宋_GB2312" w:hAnsi="Times New Roman" w:eastAsia="仿宋_GB2312"/>
          <w:color w:val="auto"/>
          <w:spacing w:val="0"/>
          <w:sz w:val="32"/>
          <w:szCs w:val="32"/>
          <w:highlight w:val="none"/>
          <w:shd w:val="clear" w:color="auto" w:fill="FFFFFF"/>
        </w:rPr>
        <w:t xml:space="preserve">机构每年由市、县（区）医疗保障部门确定，双方签订服务协议，并严格按照协议规定为参保人员提供医疗服务。  </w:t>
      </w:r>
    </w:p>
    <w:p>
      <w:pPr>
        <w:keepNext w:val="0"/>
        <w:keepLines w:val="0"/>
        <w:pageBreakBefore w:val="0"/>
        <w:widowControl w:val="0"/>
        <w:kinsoku/>
        <w:wordWrap/>
        <w:overflowPunct/>
        <w:topLinePunct w:val="0"/>
        <w:bidi w:val="0"/>
        <w:adjustRightInd w:val="0"/>
        <w:snapToGrid w:val="0"/>
        <w:spacing w:line="580" w:lineRule="atLeast"/>
        <w:ind w:right="0" w:rightChars="0" w:firstLine="642" w:firstLineChars="200"/>
        <w:textAlignment w:val="auto"/>
        <w:rPr>
          <w:rFonts w:hint="eastAsia" w:ascii="仿宋_GB2312" w:hAnsi="Times New Roman" w:eastAsia="仿宋_GB2312"/>
          <w:strike/>
          <w:color w:val="auto"/>
          <w:spacing w:val="0"/>
          <w:sz w:val="32"/>
          <w:szCs w:val="32"/>
          <w:highlight w:val="none"/>
          <w:shd w:val="clear" w:color="auto" w:fill="FFFFFF"/>
        </w:rPr>
      </w:pPr>
      <w:r>
        <w:rPr>
          <w:rFonts w:hint="eastAsia" w:ascii="仿宋_GB2312" w:hAnsi="Times New Roman" w:eastAsia="仿宋_GB2312"/>
          <w:b/>
          <w:bCs/>
          <w:color w:val="auto"/>
          <w:spacing w:val="0"/>
          <w:sz w:val="32"/>
          <w:szCs w:val="32"/>
          <w:highlight w:val="none"/>
          <w:shd w:val="clear" w:color="auto" w:fill="FFFFFF"/>
        </w:rPr>
        <w:t xml:space="preserve">第四条  </w:t>
      </w:r>
      <w:r>
        <w:rPr>
          <w:rFonts w:hint="eastAsia" w:ascii="仿宋_GB2312" w:hAnsi="Times New Roman" w:eastAsia="仿宋_GB2312"/>
          <w:color w:val="auto"/>
          <w:spacing w:val="0"/>
          <w:sz w:val="32"/>
          <w:szCs w:val="32"/>
          <w:highlight w:val="none"/>
          <w:shd w:val="clear" w:color="auto" w:fill="FFFFFF"/>
          <w:lang w:eastAsia="zh-CN"/>
        </w:rPr>
        <w:t>改革</w:t>
      </w:r>
      <w:r>
        <w:rPr>
          <w:rFonts w:hint="eastAsia" w:ascii="仿宋_GB2312" w:hAnsi="Times New Roman" w:eastAsia="仿宋_GB2312"/>
          <w:color w:val="auto"/>
          <w:spacing w:val="0"/>
          <w:sz w:val="32"/>
          <w:szCs w:val="32"/>
          <w:highlight w:val="none"/>
          <w:shd w:val="clear" w:color="auto" w:fill="FFFFFF"/>
        </w:rPr>
        <w:t>职工</w:t>
      </w:r>
      <w:r>
        <w:rPr>
          <w:rFonts w:hint="eastAsia" w:ascii="仿宋_GB2312" w:hAnsi="Times New Roman" w:eastAsia="仿宋_GB2312"/>
          <w:color w:val="auto"/>
          <w:spacing w:val="0"/>
          <w:sz w:val="32"/>
          <w:szCs w:val="32"/>
          <w:highlight w:val="none"/>
          <w:shd w:val="clear" w:color="auto" w:fill="FFFFFF"/>
          <w:lang w:eastAsia="zh-CN"/>
        </w:rPr>
        <w:t>医保</w:t>
      </w:r>
      <w:r>
        <w:rPr>
          <w:rFonts w:hint="eastAsia" w:ascii="仿宋_GB2312" w:hAnsi="Times New Roman" w:eastAsia="仿宋_GB2312"/>
          <w:color w:val="auto"/>
          <w:spacing w:val="0"/>
          <w:sz w:val="32"/>
          <w:szCs w:val="32"/>
          <w:highlight w:val="none"/>
          <w:shd w:val="clear" w:color="auto" w:fill="FFFFFF"/>
        </w:rPr>
        <w:t>个人账户后，</w:t>
      </w:r>
      <w:r>
        <w:rPr>
          <w:rFonts w:hint="eastAsia" w:ascii="仿宋_GB2312" w:hAnsi="Times New Roman" w:eastAsia="仿宋_GB2312"/>
          <w:color w:val="auto"/>
          <w:spacing w:val="0"/>
          <w:sz w:val="32"/>
          <w:szCs w:val="32"/>
          <w:highlight w:val="none"/>
          <w:shd w:val="clear" w:color="auto" w:fill="FFFFFF"/>
          <w:lang w:eastAsia="zh-CN"/>
        </w:rPr>
        <w:t>增加的</w:t>
      </w:r>
      <w:r>
        <w:rPr>
          <w:rFonts w:hint="eastAsia" w:ascii="仿宋_GB2312" w:hAnsi="Times New Roman" w:eastAsia="仿宋_GB2312"/>
          <w:color w:val="auto"/>
          <w:spacing w:val="0"/>
          <w:sz w:val="32"/>
          <w:szCs w:val="32"/>
          <w:highlight w:val="none"/>
          <w:shd w:val="clear" w:color="auto" w:fill="FFFFFF"/>
        </w:rPr>
        <w:t>统筹基金主要用于</w:t>
      </w:r>
      <w:r>
        <w:rPr>
          <w:rFonts w:hint="eastAsia" w:ascii="仿宋_GB2312" w:hAnsi="Times New Roman" w:eastAsia="仿宋_GB2312"/>
          <w:color w:val="auto"/>
          <w:spacing w:val="0"/>
          <w:sz w:val="32"/>
          <w:szCs w:val="32"/>
          <w:highlight w:val="none"/>
          <w:shd w:val="clear" w:color="auto" w:fill="FFFFFF"/>
          <w:lang w:eastAsia="zh-CN"/>
        </w:rPr>
        <w:t>建立</w:t>
      </w:r>
      <w:r>
        <w:rPr>
          <w:rFonts w:hint="eastAsia" w:ascii="仿宋_GB2312" w:hAnsi="Times New Roman" w:eastAsia="仿宋_GB2312"/>
          <w:color w:val="auto"/>
          <w:spacing w:val="0"/>
          <w:sz w:val="32"/>
          <w:szCs w:val="32"/>
          <w:highlight w:val="none"/>
          <w:shd w:val="clear" w:color="auto" w:fill="FFFFFF"/>
        </w:rPr>
        <w:t>门诊共济保障</w:t>
      </w:r>
      <w:r>
        <w:rPr>
          <w:rFonts w:hint="eastAsia" w:ascii="仿宋_GB2312" w:hAnsi="Times New Roman" w:eastAsia="仿宋_GB2312"/>
          <w:color w:val="auto"/>
          <w:spacing w:val="0"/>
          <w:sz w:val="32"/>
          <w:szCs w:val="32"/>
          <w:highlight w:val="none"/>
          <w:shd w:val="clear" w:color="auto" w:fill="FFFFFF"/>
          <w:lang w:eastAsia="zh-CN"/>
        </w:rPr>
        <w:t>机制</w:t>
      </w:r>
      <w:r>
        <w:rPr>
          <w:rFonts w:hint="eastAsia" w:ascii="仿宋_GB2312" w:hAnsi="Times New Roman" w:eastAsia="仿宋_GB2312"/>
          <w:color w:val="auto"/>
          <w:spacing w:val="0"/>
          <w:sz w:val="32"/>
          <w:szCs w:val="32"/>
          <w:highlight w:val="none"/>
          <w:shd w:val="clear" w:color="auto" w:fill="FFFFFF"/>
        </w:rPr>
        <w:t>，</w:t>
      </w:r>
      <w:r>
        <w:rPr>
          <w:rFonts w:hint="eastAsia" w:ascii="仿宋_GB2312" w:hAnsi="Times New Roman" w:eastAsia="仿宋_GB2312"/>
          <w:color w:val="auto"/>
          <w:spacing w:val="0"/>
          <w:sz w:val="32"/>
          <w:szCs w:val="32"/>
          <w:highlight w:val="none"/>
          <w:shd w:val="clear" w:color="auto" w:fill="FFFFFF"/>
          <w:lang w:eastAsia="zh-CN"/>
        </w:rPr>
        <w:t>加强</w:t>
      </w:r>
      <w:r>
        <w:rPr>
          <w:rFonts w:hint="eastAsia" w:ascii="仿宋_GB2312" w:hAnsi="Times New Roman" w:eastAsia="仿宋_GB2312"/>
          <w:color w:val="auto"/>
          <w:spacing w:val="0"/>
          <w:sz w:val="32"/>
          <w:szCs w:val="32"/>
          <w:highlight w:val="none"/>
          <w:shd w:val="clear" w:color="auto" w:fill="FFFFFF"/>
        </w:rPr>
        <w:t>参保人员门诊待遇。门诊共济保障所需资金从统筹基金中列支，统筹基金结算时对普通门诊统筹保障和门诊慢特病保障单独记账。</w:t>
      </w:r>
    </w:p>
    <w:p>
      <w:pPr>
        <w:keepNext w:val="0"/>
        <w:keepLines w:val="0"/>
        <w:pageBreakBefore w:val="0"/>
        <w:widowControl w:val="0"/>
        <w:kinsoku/>
        <w:wordWrap/>
        <w:overflowPunct/>
        <w:topLinePunct w:val="0"/>
        <w:bidi w:val="0"/>
        <w:adjustRightInd w:val="0"/>
        <w:snapToGrid w:val="0"/>
        <w:spacing w:line="580" w:lineRule="atLeast"/>
        <w:ind w:right="0" w:rightChars="0"/>
        <w:jc w:val="left"/>
        <w:textAlignment w:val="auto"/>
        <w:rPr>
          <w:rFonts w:ascii="Times New Roman" w:hAnsi="Times New Roman" w:eastAsia="宋体" w:cs="Times New Roman"/>
          <w:color w:val="auto"/>
          <w:spacing w:val="0"/>
          <w:kern w:val="2"/>
          <w:sz w:val="18"/>
          <w:szCs w:val="18"/>
          <w:highlight w:val="none"/>
          <w:lang w:val="en-US" w:eastAsia="zh-CN" w:bidi="ar-SA"/>
        </w:rPr>
      </w:pPr>
    </w:p>
    <w:p>
      <w:pPr>
        <w:keepNext w:val="0"/>
        <w:keepLines w:val="0"/>
        <w:pageBreakBefore w:val="0"/>
        <w:widowControl w:val="0"/>
        <w:kinsoku/>
        <w:wordWrap/>
        <w:overflowPunct/>
        <w:topLinePunct w:val="0"/>
        <w:bidi w:val="0"/>
        <w:adjustRightInd w:val="0"/>
        <w:snapToGrid w:val="0"/>
        <w:spacing w:line="580" w:lineRule="atLeast"/>
        <w:ind w:right="0" w:rightChars="0"/>
        <w:jc w:val="center"/>
        <w:textAlignment w:val="auto"/>
        <w:rPr>
          <w:rFonts w:hint="eastAsia" w:ascii="仿宋_GB2312" w:hAnsi="Times New Roman" w:eastAsia="仿宋_GB2312"/>
          <w:color w:val="auto"/>
          <w:spacing w:val="0"/>
          <w:sz w:val="32"/>
          <w:szCs w:val="32"/>
          <w:highlight w:val="none"/>
          <w:shd w:val="clear" w:color="auto" w:fill="FFFFFF"/>
        </w:rPr>
      </w:pPr>
      <w:r>
        <w:rPr>
          <w:rFonts w:hint="eastAsia" w:ascii="方正黑体_GBK" w:hAnsi="方正黑体_GBK" w:eastAsia="方正黑体_GBK" w:cs="方正黑体_GBK"/>
          <w:color w:val="auto"/>
          <w:spacing w:val="0"/>
          <w:sz w:val="32"/>
          <w:szCs w:val="32"/>
          <w:highlight w:val="none"/>
          <w:shd w:val="clear" w:color="auto" w:fill="FFFFFF"/>
        </w:rPr>
        <w:t>第二章 职工医保个人账户</w:t>
      </w:r>
    </w:p>
    <w:p>
      <w:pPr>
        <w:keepNext w:val="0"/>
        <w:keepLines w:val="0"/>
        <w:pageBreakBefore w:val="0"/>
        <w:widowControl w:val="0"/>
        <w:kinsoku/>
        <w:wordWrap/>
        <w:overflowPunct/>
        <w:topLinePunct w:val="0"/>
        <w:bidi w:val="0"/>
        <w:adjustRightInd w:val="0"/>
        <w:snapToGrid w:val="0"/>
        <w:spacing w:line="580" w:lineRule="atLeast"/>
        <w:ind w:right="0" w:rightChars="0" w:firstLine="642" w:firstLineChars="200"/>
        <w:textAlignment w:val="auto"/>
        <w:rPr>
          <w:rFonts w:hint="eastAsia" w:ascii="仿宋_GB2312" w:hAnsi="Times New Roman" w:eastAsia="仿宋_GB2312"/>
          <w:color w:val="auto"/>
          <w:spacing w:val="0"/>
          <w:sz w:val="32"/>
          <w:szCs w:val="32"/>
          <w:highlight w:val="none"/>
          <w:shd w:val="clear" w:color="auto" w:fill="FFFFFF"/>
          <w:lang w:val="en-US" w:eastAsia="zh-CN"/>
        </w:rPr>
      </w:pPr>
      <w:r>
        <w:rPr>
          <w:rFonts w:hint="eastAsia" w:ascii="仿宋_GB2312" w:hAnsi="Times New Roman" w:eastAsia="仿宋_GB2312"/>
          <w:b/>
          <w:bCs/>
          <w:color w:val="auto"/>
          <w:spacing w:val="0"/>
          <w:sz w:val="32"/>
          <w:szCs w:val="32"/>
          <w:highlight w:val="none"/>
          <w:shd w:val="clear" w:color="auto" w:fill="FFFFFF"/>
        </w:rPr>
        <w:t xml:space="preserve">第五条  </w:t>
      </w:r>
      <w:r>
        <w:rPr>
          <w:rFonts w:hint="eastAsia" w:ascii="仿宋_GB2312" w:hAnsi="Times New Roman" w:eastAsia="仿宋_GB2312"/>
          <w:color w:val="auto"/>
          <w:spacing w:val="0"/>
          <w:sz w:val="32"/>
          <w:szCs w:val="32"/>
          <w:highlight w:val="none"/>
          <w:shd w:val="clear" w:color="auto" w:fill="FFFFFF"/>
        </w:rPr>
        <w:t>职工医保个人账户（以下简称个人账户）本金和利息归个人所有，可以结转使用和继承</w:t>
      </w:r>
      <w:r>
        <w:rPr>
          <w:rFonts w:hint="eastAsia" w:ascii="仿宋_GB2312" w:hAnsi="Times New Roman" w:eastAsia="仿宋_GB2312"/>
          <w:color w:val="auto"/>
          <w:spacing w:val="0"/>
          <w:sz w:val="32"/>
          <w:szCs w:val="32"/>
          <w:highlight w:val="none"/>
          <w:shd w:val="clear" w:color="auto" w:fill="FFFFFF"/>
          <w:lang w:eastAsia="zh-CN"/>
        </w:rPr>
        <w:t>，</w:t>
      </w:r>
      <w:r>
        <w:rPr>
          <w:rFonts w:hint="eastAsia" w:ascii="仿宋_GB2312" w:hAnsi="Times New Roman" w:eastAsia="仿宋_GB2312"/>
          <w:color w:val="auto"/>
          <w:spacing w:val="0"/>
          <w:sz w:val="32"/>
          <w:szCs w:val="32"/>
          <w:highlight w:val="none"/>
          <w:shd w:val="clear" w:color="auto" w:fill="FFFFFF"/>
          <w:lang w:val="en-US" w:eastAsia="zh-CN"/>
        </w:rPr>
        <w:t>除政策规定外，不得支付至个人银行账户。</w:t>
      </w:r>
    </w:p>
    <w:p>
      <w:pPr>
        <w:keepNext w:val="0"/>
        <w:keepLines w:val="0"/>
        <w:pageBreakBefore w:val="0"/>
        <w:widowControl w:val="0"/>
        <w:kinsoku/>
        <w:wordWrap/>
        <w:overflowPunct/>
        <w:topLinePunct w:val="0"/>
        <w:bidi w:val="0"/>
        <w:adjustRightInd w:val="0"/>
        <w:snapToGrid w:val="0"/>
        <w:spacing w:line="580" w:lineRule="atLeast"/>
        <w:ind w:right="0" w:rightChars="0" w:firstLine="642" w:firstLineChars="200"/>
        <w:textAlignment w:val="auto"/>
        <w:rPr>
          <w:rFonts w:hint="eastAsia" w:ascii="仿宋_GB2312" w:hAnsi="Times New Roman" w:eastAsia="仿宋_GB2312"/>
          <w:color w:val="auto"/>
          <w:spacing w:val="0"/>
          <w:sz w:val="32"/>
          <w:szCs w:val="32"/>
          <w:highlight w:val="none"/>
          <w:shd w:val="clear" w:color="auto" w:fill="FFFFFF"/>
          <w:lang w:eastAsia="zh-CN"/>
        </w:rPr>
      </w:pPr>
      <w:r>
        <w:rPr>
          <w:rFonts w:hint="eastAsia" w:ascii="仿宋_GB2312" w:hAnsi="Times New Roman" w:eastAsia="仿宋_GB2312"/>
          <w:b/>
          <w:bCs/>
          <w:color w:val="auto"/>
          <w:spacing w:val="0"/>
          <w:sz w:val="32"/>
          <w:szCs w:val="32"/>
          <w:highlight w:val="none"/>
          <w:shd w:val="clear" w:color="auto" w:fill="FFFFFF"/>
        </w:rPr>
        <w:t xml:space="preserve">第六条  </w:t>
      </w:r>
      <w:r>
        <w:rPr>
          <w:rFonts w:hint="eastAsia" w:ascii="仿宋_GB2312" w:hAnsi="Times New Roman" w:eastAsia="仿宋_GB2312"/>
          <w:color w:val="auto"/>
          <w:spacing w:val="0"/>
          <w:sz w:val="32"/>
          <w:szCs w:val="32"/>
          <w:highlight w:val="none"/>
          <w:shd w:val="clear" w:color="auto" w:fill="FFFFFF"/>
          <w:lang w:eastAsia="zh"/>
        </w:rPr>
        <w:t>在职职工</w:t>
      </w:r>
      <w:r>
        <w:rPr>
          <w:rFonts w:hint="eastAsia" w:ascii="仿宋_GB2312" w:hAnsi="Times New Roman" w:eastAsia="仿宋_GB2312"/>
          <w:color w:val="auto"/>
          <w:spacing w:val="0"/>
          <w:sz w:val="32"/>
          <w:szCs w:val="32"/>
          <w:highlight w:val="none"/>
          <w:shd w:val="clear" w:color="auto" w:fill="FFFFFF"/>
        </w:rPr>
        <w:t>个人账户由个人缴纳的基本医疗保险费计入，计入标准</w:t>
      </w:r>
      <w:r>
        <w:rPr>
          <w:rFonts w:hint="eastAsia" w:ascii="仿宋_GB2312" w:hAnsi="Times New Roman" w:eastAsia="仿宋_GB2312"/>
          <w:color w:val="auto"/>
          <w:spacing w:val="0"/>
          <w:sz w:val="32"/>
          <w:szCs w:val="32"/>
          <w:highlight w:val="none"/>
          <w:shd w:val="clear" w:color="auto" w:fill="FFFFFF"/>
          <w:lang w:eastAsia="zh"/>
        </w:rPr>
        <w:t>为本人</w:t>
      </w:r>
      <w:r>
        <w:rPr>
          <w:rFonts w:hint="eastAsia" w:ascii="仿宋_GB2312" w:hAnsi="Times New Roman" w:eastAsia="仿宋_GB2312"/>
          <w:color w:val="auto"/>
          <w:spacing w:val="0"/>
          <w:sz w:val="32"/>
          <w:szCs w:val="32"/>
          <w:highlight w:val="none"/>
          <w:shd w:val="clear" w:color="auto" w:fill="FFFFFF"/>
        </w:rPr>
        <w:t>当月实际</w:t>
      </w:r>
      <w:r>
        <w:rPr>
          <w:rFonts w:hint="eastAsia" w:ascii="仿宋_GB2312" w:hAnsi="Times New Roman" w:eastAsia="仿宋_GB2312"/>
          <w:color w:val="auto"/>
          <w:spacing w:val="0"/>
          <w:sz w:val="32"/>
          <w:szCs w:val="32"/>
          <w:highlight w:val="none"/>
          <w:shd w:val="clear" w:color="auto" w:fill="FFFFFF"/>
          <w:lang w:eastAsia="zh"/>
        </w:rPr>
        <w:t>缴费基数的2%</w:t>
      </w:r>
      <w:r>
        <w:rPr>
          <w:rFonts w:hint="eastAsia" w:ascii="仿宋_GB2312" w:hAnsi="Times New Roman" w:eastAsia="仿宋_GB2312"/>
          <w:color w:val="auto"/>
          <w:spacing w:val="0"/>
          <w:sz w:val="32"/>
          <w:szCs w:val="32"/>
          <w:highlight w:val="none"/>
          <w:shd w:val="clear" w:color="auto" w:fill="FFFFFF"/>
        </w:rPr>
        <w:t>，单位缴纳的基本医疗保险费全部计入统筹基金。灵活就业参保人员个人账户计入标准为本人实际缴费基数的2%，其余基本医疗保险缴费部分全部计入统筹基金。</w:t>
      </w:r>
      <w:r>
        <w:rPr>
          <w:rFonts w:hint="eastAsia" w:ascii="仿宋_GB2312" w:hAnsi="Times New Roman" w:eastAsia="仿宋_GB2312"/>
          <w:color w:val="auto"/>
          <w:spacing w:val="0"/>
          <w:sz w:val="32"/>
          <w:szCs w:val="32"/>
          <w:highlight w:val="none"/>
          <w:shd w:val="clear" w:color="auto" w:fill="FFFFFF"/>
          <w:lang w:eastAsia="zh"/>
        </w:rPr>
        <w:t>退休人员按2023年自治区基本养老金平均水平的2.8%定额划入</w:t>
      </w:r>
      <w:r>
        <w:rPr>
          <w:rFonts w:hint="eastAsia" w:ascii="仿宋_GB2312" w:hAnsi="Times New Roman" w:eastAsia="仿宋_GB2312"/>
          <w:color w:val="auto"/>
          <w:spacing w:val="0"/>
          <w:sz w:val="32"/>
          <w:szCs w:val="32"/>
          <w:highlight w:val="none"/>
          <w:shd w:val="clear" w:color="auto" w:fill="FFFFFF"/>
          <w:lang w:eastAsia="zh-CN"/>
        </w:rPr>
        <w:t>。</w:t>
      </w:r>
      <w:r>
        <w:rPr>
          <w:rFonts w:hint="eastAsia" w:ascii="仿宋_GB2312" w:hAnsi="Times New Roman" w:eastAsia="仿宋_GB2312"/>
          <w:color w:val="auto"/>
          <w:spacing w:val="0"/>
          <w:sz w:val="32"/>
          <w:szCs w:val="32"/>
          <w:highlight w:val="none"/>
          <w:shd w:val="clear" w:color="auto" w:fill="FFFFFF"/>
        </w:rPr>
        <w:t>参保人员办理在职转退休手续</w:t>
      </w:r>
      <w:r>
        <w:rPr>
          <w:rFonts w:hint="eastAsia" w:ascii="仿宋_GB2312" w:hAnsi="Times New Roman" w:eastAsia="仿宋_GB2312"/>
          <w:color w:val="auto"/>
          <w:spacing w:val="0"/>
          <w:sz w:val="32"/>
          <w:szCs w:val="32"/>
          <w:highlight w:val="none"/>
          <w:shd w:val="clear" w:color="auto" w:fill="FFFFFF"/>
          <w:lang w:eastAsia="zh-CN"/>
        </w:rPr>
        <w:t>后</w:t>
      </w:r>
      <w:r>
        <w:rPr>
          <w:rFonts w:hint="eastAsia" w:ascii="仿宋_GB2312" w:hAnsi="Times New Roman" w:eastAsia="仿宋_GB2312"/>
          <w:color w:val="auto"/>
          <w:spacing w:val="0"/>
          <w:sz w:val="32"/>
          <w:szCs w:val="32"/>
          <w:highlight w:val="none"/>
          <w:shd w:val="clear" w:color="auto" w:fill="FFFFFF"/>
        </w:rPr>
        <w:t>，从次月起变更个人账户计入办法</w:t>
      </w:r>
      <w:r>
        <w:rPr>
          <w:rFonts w:hint="eastAsia" w:ascii="仿宋_GB2312" w:hAnsi="Times New Roman" w:eastAsia="仿宋_GB2312"/>
          <w:color w:val="auto"/>
          <w:spacing w:val="0"/>
          <w:sz w:val="32"/>
          <w:szCs w:val="32"/>
          <w:highlight w:val="none"/>
          <w:shd w:val="clear" w:color="auto" w:fill="FFFFFF"/>
          <w:lang w:eastAsia="zh-CN"/>
        </w:rPr>
        <w:t>。</w:t>
      </w:r>
    </w:p>
    <w:p>
      <w:pPr>
        <w:keepNext w:val="0"/>
        <w:keepLines w:val="0"/>
        <w:pageBreakBefore w:val="0"/>
        <w:widowControl w:val="0"/>
        <w:kinsoku/>
        <w:wordWrap/>
        <w:overflowPunct/>
        <w:topLinePunct w:val="0"/>
        <w:bidi w:val="0"/>
        <w:adjustRightInd w:val="0"/>
        <w:snapToGrid w:val="0"/>
        <w:spacing w:line="580" w:lineRule="atLeast"/>
        <w:ind w:right="0" w:rightChars="0" w:firstLine="642" w:firstLineChars="200"/>
        <w:textAlignment w:val="auto"/>
        <w:rPr>
          <w:rFonts w:hint="eastAsia" w:ascii="仿宋_GB2312" w:hAnsi="Times New Roman" w:eastAsia="仿宋_GB2312"/>
          <w:color w:val="auto"/>
          <w:spacing w:val="0"/>
          <w:sz w:val="32"/>
          <w:szCs w:val="32"/>
          <w:highlight w:val="none"/>
          <w:lang w:eastAsia="zh"/>
        </w:rPr>
      </w:pPr>
      <w:r>
        <w:rPr>
          <w:rFonts w:hint="eastAsia" w:ascii="仿宋_GB2312" w:hAnsi="Times New Roman" w:eastAsia="仿宋_GB2312"/>
          <w:b/>
          <w:bCs/>
          <w:color w:val="auto"/>
          <w:spacing w:val="0"/>
          <w:sz w:val="32"/>
          <w:szCs w:val="32"/>
          <w:highlight w:val="none"/>
          <w:shd w:val="clear" w:color="auto" w:fill="FFFFFF"/>
          <w:lang w:eastAsia="zh"/>
        </w:rPr>
        <w:t>第</w:t>
      </w:r>
      <w:r>
        <w:rPr>
          <w:rFonts w:hint="eastAsia" w:ascii="仿宋_GB2312" w:hAnsi="Times New Roman" w:eastAsia="仿宋_GB2312"/>
          <w:b/>
          <w:bCs/>
          <w:color w:val="auto"/>
          <w:spacing w:val="0"/>
          <w:sz w:val="32"/>
          <w:szCs w:val="32"/>
          <w:highlight w:val="none"/>
          <w:shd w:val="clear" w:color="auto" w:fill="FFFFFF"/>
        </w:rPr>
        <w:t>七</w:t>
      </w:r>
      <w:r>
        <w:rPr>
          <w:rFonts w:hint="eastAsia" w:ascii="仿宋_GB2312" w:hAnsi="Times New Roman" w:eastAsia="仿宋_GB2312"/>
          <w:b/>
          <w:bCs/>
          <w:color w:val="auto"/>
          <w:spacing w:val="0"/>
          <w:sz w:val="32"/>
          <w:szCs w:val="32"/>
          <w:highlight w:val="none"/>
          <w:shd w:val="clear" w:color="auto" w:fill="FFFFFF"/>
          <w:lang w:eastAsia="zh"/>
        </w:rPr>
        <w:t>条</w:t>
      </w:r>
      <w:r>
        <w:rPr>
          <w:rFonts w:hint="eastAsia" w:ascii="仿宋_GB2312" w:hAnsi="Times New Roman" w:eastAsia="仿宋_GB2312"/>
          <w:b/>
          <w:bCs/>
          <w:color w:val="auto"/>
          <w:spacing w:val="0"/>
          <w:sz w:val="32"/>
          <w:szCs w:val="32"/>
          <w:highlight w:val="none"/>
          <w:shd w:val="clear" w:color="auto" w:fill="FFFFFF"/>
        </w:rPr>
        <w:t xml:space="preserve">  </w:t>
      </w:r>
      <w:r>
        <w:rPr>
          <w:rFonts w:hint="eastAsia" w:ascii="仿宋_GB2312" w:hAnsi="Times New Roman" w:eastAsia="仿宋_GB2312"/>
          <w:color w:val="auto"/>
          <w:spacing w:val="0"/>
          <w:sz w:val="32"/>
          <w:szCs w:val="32"/>
          <w:highlight w:val="none"/>
          <w:shd w:val="clear" w:color="auto" w:fill="FFFFFF"/>
        </w:rPr>
        <w:t>参保人员</w:t>
      </w:r>
      <w:r>
        <w:rPr>
          <w:rFonts w:hint="eastAsia" w:ascii="仿宋_GB2312" w:hAnsi="Times New Roman" w:eastAsia="仿宋_GB2312"/>
          <w:color w:val="auto"/>
          <w:spacing w:val="0"/>
          <w:sz w:val="32"/>
          <w:szCs w:val="32"/>
          <w:highlight w:val="none"/>
          <w:shd w:val="clear" w:color="auto" w:fill="FFFFFF"/>
          <w:lang w:eastAsia="zh"/>
        </w:rPr>
        <w:t>的个人账户资金可以实行配偶、父母</w:t>
      </w:r>
      <w:r>
        <w:rPr>
          <w:rFonts w:hint="eastAsia" w:ascii="仿宋_GB2312" w:hAnsi="Times New Roman" w:eastAsia="仿宋_GB2312"/>
          <w:color w:val="auto"/>
          <w:spacing w:val="0"/>
          <w:sz w:val="32"/>
          <w:szCs w:val="32"/>
          <w:highlight w:val="none"/>
          <w:shd w:val="clear" w:color="auto" w:fill="FFFFFF"/>
        </w:rPr>
        <w:t>（包括配偶父母）</w:t>
      </w:r>
      <w:r>
        <w:rPr>
          <w:rFonts w:hint="eastAsia" w:ascii="仿宋_GB2312" w:hAnsi="Times New Roman" w:eastAsia="仿宋_GB2312"/>
          <w:color w:val="auto"/>
          <w:spacing w:val="0"/>
          <w:sz w:val="32"/>
          <w:szCs w:val="32"/>
          <w:highlight w:val="none"/>
          <w:shd w:val="clear" w:color="auto" w:fill="FFFFFF"/>
          <w:lang w:eastAsia="zh"/>
        </w:rPr>
        <w:t>、子女家庭成员共济使用，</w:t>
      </w:r>
      <w:r>
        <w:rPr>
          <w:rFonts w:hint="eastAsia" w:ascii="仿宋_GB2312" w:hAnsi="Times New Roman" w:eastAsia="仿宋_GB2312"/>
          <w:color w:val="auto"/>
          <w:spacing w:val="0"/>
          <w:sz w:val="32"/>
          <w:szCs w:val="32"/>
          <w:highlight w:val="none"/>
          <w:u w:val="none"/>
          <w:lang w:eastAsia="zh"/>
        </w:rPr>
        <w:t>由</w:t>
      </w:r>
      <w:r>
        <w:rPr>
          <w:rFonts w:hint="eastAsia" w:ascii="仿宋_GB2312" w:hAnsi="Times New Roman" w:eastAsia="仿宋_GB2312"/>
          <w:color w:val="auto"/>
          <w:spacing w:val="0"/>
          <w:sz w:val="32"/>
          <w:szCs w:val="32"/>
          <w:highlight w:val="none"/>
          <w:u w:val="none"/>
        </w:rPr>
        <w:t>参保人员</w:t>
      </w:r>
      <w:r>
        <w:rPr>
          <w:rFonts w:hint="eastAsia" w:ascii="仿宋_GB2312" w:hAnsi="Times New Roman" w:eastAsia="仿宋_GB2312"/>
          <w:color w:val="auto"/>
          <w:spacing w:val="0"/>
          <w:sz w:val="32"/>
          <w:szCs w:val="32"/>
          <w:highlight w:val="none"/>
          <w:u w:val="none"/>
          <w:lang w:eastAsia="zh"/>
        </w:rPr>
        <w:t>本人通过</w:t>
      </w:r>
      <w:r>
        <w:rPr>
          <w:rFonts w:hint="eastAsia" w:ascii="仿宋_GB2312" w:hAnsi="Times New Roman" w:eastAsia="仿宋_GB2312"/>
          <w:color w:val="auto"/>
          <w:spacing w:val="0"/>
          <w:sz w:val="32"/>
          <w:szCs w:val="32"/>
          <w:highlight w:val="none"/>
          <w:u w:val="none"/>
          <w:lang w:eastAsia="zh-CN"/>
        </w:rPr>
        <w:t>宁夏回族自治区医保公共服务网厅、我的宁夏</w:t>
      </w:r>
      <w:r>
        <w:rPr>
          <w:rFonts w:hint="eastAsia" w:ascii="仿宋_GB2312" w:hAnsi="Times New Roman" w:eastAsia="仿宋_GB2312"/>
          <w:color w:val="auto"/>
          <w:spacing w:val="0"/>
          <w:sz w:val="32"/>
          <w:szCs w:val="32"/>
          <w:highlight w:val="none"/>
          <w:u w:val="none"/>
          <w:lang w:val="en-US" w:eastAsia="zh-CN"/>
        </w:rPr>
        <w:t>APP等</w:t>
      </w:r>
      <w:r>
        <w:rPr>
          <w:rFonts w:hint="eastAsia" w:ascii="仿宋_GB2312" w:hAnsi="Times New Roman" w:eastAsia="仿宋_GB2312"/>
          <w:color w:val="auto"/>
          <w:spacing w:val="0"/>
          <w:sz w:val="32"/>
          <w:szCs w:val="32"/>
          <w:highlight w:val="none"/>
          <w:u w:val="none"/>
        </w:rPr>
        <w:t>线上</w:t>
      </w:r>
      <w:r>
        <w:rPr>
          <w:rFonts w:hint="eastAsia" w:ascii="仿宋_GB2312" w:hAnsi="Times New Roman" w:eastAsia="仿宋_GB2312"/>
          <w:color w:val="auto"/>
          <w:spacing w:val="0"/>
          <w:sz w:val="32"/>
          <w:szCs w:val="32"/>
          <w:highlight w:val="none"/>
          <w:u w:val="none"/>
          <w:lang w:eastAsia="zh-CN"/>
        </w:rPr>
        <w:t>渠道</w:t>
      </w:r>
      <w:r>
        <w:rPr>
          <w:rFonts w:hint="eastAsia" w:ascii="仿宋_GB2312" w:hAnsi="Times New Roman" w:eastAsia="仿宋_GB2312"/>
          <w:color w:val="auto"/>
          <w:spacing w:val="0"/>
          <w:sz w:val="32"/>
          <w:szCs w:val="32"/>
          <w:highlight w:val="none"/>
          <w:u w:val="none"/>
          <w:lang w:eastAsia="zh"/>
        </w:rPr>
        <w:t>进行</w:t>
      </w:r>
      <w:r>
        <w:rPr>
          <w:rFonts w:hint="eastAsia" w:ascii="仿宋_GB2312" w:hAnsi="Times New Roman" w:eastAsia="仿宋_GB2312"/>
          <w:color w:val="auto"/>
          <w:spacing w:val="0"/>
          <w:sz w:val="32"/>
          <w:szCs w:val="32"/>
          <w:highlight w:val="none"/>
          <w:u w:val="none"/>
          <w:lang w:eastAsia="zh-CN"/>
        </w:rPr>
        <w:t>授权操作</w:t>
      </w:r>
      <w:r>
        <w:rPr>
          <w:rFonts w:hint="eastAsia" w:ascii="仿宋_GB2312" w:hAnsi="Times New Roman" w:eastAsia="仿宋_GB2312"/>
          <w:color w:val="auto"/>
          <w:spacing w:val="0"/>
          <w:sz w:val="32"/>
          <w:szCs w:val="32"/>
          <w:highlight w:val="none"/>
          <w:u w:val="none"/>
          <w:lang w:eastAsia="zh"/>
        </w:rPr>
        <w:t>。</w:t>
      </w:r>
    </w:p>
    <w:p>
      <w:pPr>
        <w:keepNext w:val="0"/>
        <w:keepLines w:val="0"/>
        <w:pageBreakBefore w:val="0"/>
        <w:widowControl w:val="0"/>
        <w:kinsoku/>
        <w:wordWrap/>
        <w:overflowPunct/>
        <w:topLinePunct w:val="0"/>
        <w:bidi w:val="0"/>
        <w:adjustRightInd w:val="0"/>
        <w:snapToGrid w:val="0"/>
        <w:spacing w:line="580" w:lineRule="atLeast"/>
        <w:ind w:right="0" w:rightChars="0" w:firstLine="642" w:firstLineChars="200"/>
        <w:textAlignment w:val="auto"/>
        <w:rPr>
          <w:rFonts w:hint="eastAsia" w:ascii="仿宋_GB2312" w:hAnsi="Times New Roman" w:eastAsia="仿宋_GB2312"/>
          <w:color w:val="auto"/>
          <w:spacing w:val="0"/>
          <w:sz w:val="32"/>
          <w:szCs w:val="32"/>
          <w:highlight w:val="none"/>
          <w:shd w:val="clear" w:color="auto" w:fill="FFFFFF"/>
        </w:rPr>
      </w:pPr>
      <w:r>
        <w:rPr>
          <w:rFonts w:hint="eastAsia" w:ascii="仿宋_GB2312" w:hAnsi="Times New Roman" w:eastAsia="仿宋_GB2312"/>
          <w:b/>
          <w:bCs/>
          <w:color w:val="auto"/>
          <w:spacing w:val="0"/>
          <w:sz w:val="32"/>
          <w:szCs w:val="32"/>
          <w:highlight w:val="none"/>
          <w:shd w:val="clear" w:color="auto" w:fill="FFFFFF"/>
        </w:rPr>
        <w:t xml:space="preserve">第八条 </w:t>
      </w:r>
      <w:r>
        <w:rPr>
          <w:rFonts w:hint="eastAsia" w:ascii="仿宋_GB2312" w:hAnsi="Times New Roman" w:eastAsia="仿宋_GB2312"/>
          <w:b/>
          <w:bCs/>
          <w:color w:val="auto"/>
          <w:spacing w:val="0"/>
          <w:sz w:val="32"/>
          <w:szCs w:val="32"/>
          <w:highlight w:val="none"/>
          <w:shd w:val="clear" w:color="auto" w:fill="FFFFFF"/>
          <w:lang w:val="en-US" w:eastAsia="zh-CN"/>
        </w:rPr>
        <w:t xml:space="preserve"> </w:t>
      </w:r>
      <w:r>
        <w:rPr>
          <w:rFonts w:hint="eastAsia" w:ascii="仿宋_GB2312" w:hAnsi="Times New Roman" w:eastAsia="仿宋_GB2312"/>
          <w:color w:val="auto"/>
          <w:spacing w:val="0"/>
          <w:sz w:val="32"/>
          <w:szCs w:val="32"/>
          <w:highlight w:val="none"/>
          <w:shd w:val="clear" w:color="auto" w:fill="FFFFFF"/>
        </w:rPr>
        <w:t>个人账户主要用于支付参保人员在定点</w:t>
      </w:r>
      <w:r>
        <w:rPr>
          <w:rFonts w:hint="eastAsia" w:ascii="仿宋_GB2312" w:hAnsi="Times New Roman" w:eastAsia="仿宋_GB2312"/>
          <w:color w:val="auto"/>
          <w:spacing w:val="0"/>
          <w:sz w:val="32"/>
          <w:szCs w:val="32"/>
          <w:highlight w:val="none"/>
          <w:shd w:val="clear" w:color="auto" w:fill="FFFFFF"/>
          <w:lang w:eastAsia="zh-CN"/>
        </w:rPr>
        <w:t>医疗机构或定点零售药店</w:t>
      </w:r>
      <w:r>
        <w:rPr>
          <w:rFonts w:hint="eastAsia" w:ascii="仿宋_GB2312" w:hAnsi="Times New Roman" w:eastAsia="仿宋_GB2312"/>
          <w:color w:val="auto"/>
          <w:spacing w:val="0"/>
          <w:sz w:val="32"/>
          <w:szCs w:val="32"/>
          <w:highlight w:val="none"/>
          <w:shd w:val="clear" w:color="auto" w:fill="FFFFFF"/>
        </w:rPr>
        <w:t>发生的政策范围内自付费用。可以用于支付参保人员本人及其配偶、父母、子女在定点医疗机构就医发生的由个人负担的医疗费用，以及在定点零售药店购买药品、医疗器械、医用耗材发生的由个人负担的费用。</w:t>
      </w:r>
      <w:r>
        <w:rPr>
          <w:rFonts w:hint="eastAsia" w:ascii="仿宋_GB2312" w:hAnsi="Times New Roman" w:eastAsia="仿宋_GB2312"/>
          <w:color w:val="auto"/>
          <w:spacing w:val="0"/>
          <w:sz w:val="32"/>
          <w:szCs w:val="32"/>
          <w:highlight w:val="none"/>
          <w:shd w:val="clear" w:color="auto" w:fill="FFFFFF"/>
          <w:lang w:eastAsia="zh-CN"/>
        </w:rPr>
        <w:t>可以用于配偶、父母、子女参加城乡居民基本医疗保险、购买长期护理保险的个人缴费。</w:t>
      </w:r>
      <w:r>
        <w:rPr>
          <w:rFonts w:hint="eastAsia" w:ascii="仿宋_GB2312" w:hAnsi="Times New Roman" w:eastAsia="仿宋_GB2312"/>
          <w:color w:val="auto"/>
          <w:spacing w:val="0"/>
          <w:sz w:val="32"/>
          <w:szCs w:val="32"/>
          <w:highlight w:val="none"/>
          <w:shd w:val="clear" w:color="auto" w:fill="FFFFFF"/>
        </w:rPr>
        <w:t>个人账户不得用于公共卫生费用、体育健身或养生保健消费等不属于基本医疗保险保障范围的支出。</w:t>
      </w:r>
    </w:p>
    <w:p>
      <w:pPr>
        <w:keepNext w:val="0"/>
        <w:keepLines w:val="0"/>
        <w:pageBreakBefore w:val="0"/>
        <w:widowControl w:val="0"/>
        <w:kinsoku/>
        <w:wordWrap/>
        <w:overflowPunct/>
        <w:topLinePunct w:val="0"/>
        <w:bidi w:val="0"/>
        <w:adjustRightInd w:val="0"/>
        <w:snapToGrid w:val="0"/>
        <w:spacing w:line="580" w:lineRule="atLeast"/>
        <w:ind w:right="0" w:rightChars="0" w:firstLine="642" w:firstLineChars="200"/>
        <w:textAlignment w:val="auto"/>
        <w:rPr>
          <w:rFonts w:hint="eastAsia" w:ascii="仿宋_GB2312" w:hAnsi="Times New Roman" w:eastAsia="仿宋_GB2312"/>
          <w:color w:val="auto"/>
          <w:spacing w:val="0"/>
          <w:sz w:val="32"/>
          <w:szCs w:val="32"/>
          <w:highlight w:val="none"/>
          <w:shd w:val="clear" w:color="auto" w:fill="FFFFFF"/>
        </w:rPr>
      </w:pPr>
      <w:r>
        <w:rPr>
          <w:rFonts w:hint="eastAsia" w:ascii="仿宋_GB2312" w:hAnsi="Times New Roman" w:eastAsia="仿宋_GB2312"/>
          <w:b/>
          <w:bCs/>
          <w:color w:val="auto"/>
          <w:spacing w:val="0"/>
          <w:sz w:val="32"/>
          <w:szCs w:val="32"/>
          <w:highlight w:val="none"/>
          <w:shd w:val="clear" w:color="auto" w:fill="FFFFFF"/>
        </w:rPr>
        <w:t xml:space="preserve">第九条  </w:t>
      </w:r>
      <w:r>
        <w:rPr>
          <w:rFonts w:hint="eastAsia" w:ascii="仿宋_GB2312" w:hAnsi="Times New Roman" w:eastAsia="仿宋_GB2312"/>
          <w:color w:val="auto"/>
          <w:spacing w:val="0"/>
          <w:sz w:val="32"/>
          <w:szCs w:val="32"/>
          <w:highlight w:val="none"/>
          <w:shd w:val="clear" w:color="auto" w:fill="FFFFFF"/>
        </w:rPr>
        <w:t>参保人员因出国定居、死亡特殊原因，个人账户余额可以继续使用，也可申请个人账户一次性返</w:t>
      </w:r>
      <w:r>
        <w:rPr>
          <w:rFonts w:hint="eastAsia" w:ascii="仿宋_GB2312" w:hAnsi="Times New Roman" w:eastAsia="仿宋_GB2312"/>
          <w:color w:val="auto"/>
          <w:spacing w:val="0"/>
          <w:sz w:val="32"/>
          <w:szCs w:val="32"/>
          <w:highlight w:val="none"/>
          <w:shd w:val="clear" w:color="auto" w:fill="FFFFFF"/>
          <w:lang w:eastAsia="zh-CN"/>
        </w:rPr>
        <w:t>还</w:t>
      </w:r>
      <w:r>
        <w:rPr>
          <w:rFonts w:hint="eastAsia" w:ascii="仿宋_GB2312" w:hAnsi="Times New Roman" w:eastAsia="仿宋_GB2312"/>
          <w:color w:val="auto"/>
          <w:spacing w:val="0"/>
          <w:sz w:val="32"/>
          <w:szCs w:val="32"/>
          <w:highlight w:val="none"/>
          <w:shd w:val="clear" w:color="auto" w:fill="FFFFFF"/>
        </w:rPr>
        <w:t>或一次性拨付给合法继承人。参保人员跨统筹地区流动就业的，个人账户原则上随其医疗保险关系转移划转。职工医保关系跨地区转移时，个人账户余额无法转移接续的和已办理长期异地居住备案手续的参保人员，可办理个人账户一次性返还。参保人员终止医保关系的，用人单位或管理单位须及时向医保经办机构申报，逾期造成个人账户基金损失的，由用人单位或管理单位承担。</w:t>
      </w:r>
    </w:p>
    <w:p>
      <w:pPr>
        <w:keepNext w:val="0"/>
        <w:keepLines w:val="0"/>
        <w:pageBreakBefore w:val="0"/>
        <w:widowControl w:val="0"/>
        <w:kinsoku/>
        <w:wordWrap/>
        <w:overflowPunct/>
        <w:topLinePunct w:val="0"/>
        <w:bidi w:val="0"/>
        <w:adjustRightInd w:val="0"/>
        <w:snapToGrid w:val="0"/>
        <w:spacing w:line="580" w:lineRule="atLeast"/>
        <w:ind w:right="0" w:rightChars="0"/>
        <w:textAlignment w:val="auto"/>
        <w:rPr>
          <w:rFonts w:hint="eastAsia" w:ascii="黑体" w:hAnsi="黑体" w:eastAsia="黑体" w:cs="仿宋_GB2312"/>
          <w:b w:val="0"/>
          <w:bCs w:val="0"/>
          <w:color w:val="auto"/>
          <w:spacing w:val="0"/>
          <w:sz w:val="32"/>
          <w:szCs w:val="32"/>
          <w:highlight w:val="none"/>
        </w:rPr>
      </w:pPr>
    </w:p>
    <w:p>
      <w:pPr>
        <w:keepNext w:val="0"/>
        <w:keepLines w:val="0"/>
        <w:pageBreakBefore w:val="0"/>
        <w:widowControl w:val="0"/>
        <w:kinsoku/>
        <w:wordWrap/>
        <w:overflowPunct/>
        <w:topLinePunct w:val="0"/>
        <w:bidi w:val="0"/>
        <w:adjustRightInd w:val="0"/>
        <w:snapToGrid w:val="0"/>
        <w:spacing w:line="580" w:lineRule="atLeast"/>
        <w:ind w:right="0" w:rightChars="0"/>
        <w:jc w:val="center"/>
        <w:textAlignment w:val="auto"/>
        <w:rPr>
          <w:rFonts w:hint="eastAsia" w:ascii="黑体" w:hAnsi="黑体" w:eastAsia="黑体" w:cs="仿宋_GB2312"/>
          <w:b w:val="0"/>
          <w:bCs w:val="0"/>
          <w:color w:val="auto"/>
          <w:spacing w:val="0"/>
          <w:sz w:val="32"/>
          <w:szCs w:val="32"/>
          <w:highlight w:val="none"/>
        </w:rPr>
      </w:pPr>
      <w:r>
        <w:rPr>
          <w:rFonts w:hint="eastAsia" w:ascii="黑体" w:hAnsi="黑体" w:eastAsia="黑体" w:cs="仿宋_GB2312"/>
          <w:b w:val="0"/>
          <w:bCs w:val="0"/>
          <w:color w:val="auto"/>
          <w:spacing w:val="0"/>
          <w:sz w:val="32"/>
          <w:szCs w:val="32"/>
          <w:highlight w:val="none"/>
        </w:rPr>
        <w:t>第三章 普通门诊统筹保障</w:t>
      </w:r>
    </w:p>
    <w:p>
      <w:pPr>
        <w:keepNext w:val="0"/>
        <w:keepLines w:val="0"/>
        <w:pageBreakBefore w:val="0"/>
        <w:widowControl w:val="0"/>
        <w:kinsoku/>
        <w:wordWrap/>
        <w:overflowPunct/>
        <w:topLinePunct w:val="0"/>
        <w:bidi w:val="0"/>
        <w:adjustRightInd w:val="0"/>
        <w:snapToGrid w:val="0"/>
        <w:spacing w:line="580" w:lineRule="atLeast"/>
        <w:ind w:right="0" w:rightChars="0" w:firstLine="642" w:firstLineChars="200"/>
        <w:textAlignment w:val="auto"/>
        <w:rPr>
          <w:rFonts w:hint="eastAsia" w:ascii="仿宋_GB2312" w:hAnsi="Times New Roman" w:eastAsia="仿宋_GB2312"/>
          <w:color w:val="auto"/>
          <w:spacing w:val="0"/>
          <w:sz w:val="32"/>
          <w:szCs w:val="32"/>
          <w:highlight w:val="none"/>
          <w:shd w:val="clear" w:color="auto" w:fill="FFFFFF"/>
        </w:rPr>
      </w:pPr>
      <w:r>
        <w:rPr>
          <w:rFonts w:hint="eastAsia" w:ascii="仿宋_GB2312" w:hAnsi="Times New Roman" w:eastAsia="仿宋_GB2312"/>
          <w:b/>
          <w:bCs/>
          <w:color w:val="auto"/>
          <w:spacing w:val="0"/>
          <w:sz w:val="32"/>
          <w:szCs w:val="32"/>
          <w:highlight w:val="none"/>
          <w:shd w:val="clear" w:color="auto" w:fill="FFFFFF"/>
        </w:rPr>
        <w:t xml:space="preserve">第十条  </w:t>
      </w:r>
      <w:r>
        <w:rPr>
          <w:rFonts w:hint="eastAsia" w:ascii="仿宋_GB2312" w:hAnsi="Times New Roman" w:eastAsia="仿宋_GB2312"/>
          <w:color w:val="auto"/>
          <w:spacing w:val="0"/>
          <w:sz w:val="32"/>
          <w:szCs w:val="32"/>
          <w:highlight w:val="none"/>
          <w:shd w:val="clear" w:color="auto" w:fill="FFFFFF"/>
        </w:rPr>
        <w:t>本办法所称普通门诊统筹保障，是指参保人员在一级（含社区卫生服务中心、社区卫生服务站、乡镇卫生院，下同）及以上定点</w:t>
      </w:r>
      <w:r>
        <w:rPr>
          <w:rFonts w:hint="eastAsia" w:ascii="仿宋_GB2312" w:hAnsi="Times New Roman" w:eastAsia="仿宋_GB2312"/>
          <w:color w:val="auto"/>
          <w:spacing w:val="0"/>
          <w:sz w:val="32"/>
          <w:szCs w:val="32"/>
          <w:highlight w:val="none"/>
          <w:shd w:val="clear" w:color="auto" w:fill="FFFFFF"/>
          <w:lang w:eastAsia="zh-CN"/>
        </w:rPr>
        <w:t>医疗</w:t>
      </w:r>
      <w:r>
        <w:rPr>
          <w:rFonts w:hint="eastAsia" w:ascii="仿宋_GB2312" w:hAnsi="Times New Roman" w:eastAsia="仿宋_GB2312"/>
          <w:color w:val="auto"/>
          <w:spacing w:val="0"/>
          <w:sz w:val="32"/>
          <w:szCs w:val="32"/>
          <w:highlight w:val="none"/>
          <w:shd w:val="clear" w:color="auto" w:fill="FFFFFF"/>
        </w:rPr>
        <w:t>机构发生的基本医保政策范围内门诊医疗费用，由统筹基金按规定保障标准予以支付的具体</w:t>
      </w:r>
      <w:r>
        <w:rPr>
          <w:rFonts w:hint="eastAsia" w:ascii="仿宋_GB2312" w:hAnsi="Times New Roman" w:eastAsia="仿宋_GB2312"/>
          <w:color w:val="auto"/>
          <w:spacing w:val="0"/>
          <w:sz w:val="32"/>
          <w:szCs w:val="32"/>
          <w:highlight w:val="none"/>
          <w:shd w:val="clear" w:color="auto" w:fill="FFFFFF"/>
          <w:lang w:eastAsia="zh-CN"/>
        </w:rPr>
        <w:t>措施</w:t>
      </w:r>
      <w:r>
        <w:rPr>
          <w:rFonts w:hint="eastAsia" w:ascii="仿宋_GB2312" w:hAnsi="Times New Roman" w:eastAsia="仿宋_GB2312"/>
          <w:color w:val="auto"/>
          <w:spacing w:val="0"/>
          <w:sz w:val="32"/>
          <w:szCs w:val="32"/>
          <w:highlight w:val="none"/>
          <w:shd w:val="clear" w:color="auto" w:fill="FFFFFF"/>
        </w:rPr>
        <w:t>。</w:t>
      </w:r>
    </w:p>
    <w:p>
      <w:pPr>
        <w:keepNext w:val="0"/>
        <w:keepLines w:val="0"/>
        <w:pageBreakBefore w:val="0"/>
        <w:widowControl w:val="0"/>
        <w:kinsoku/>
        <w:wordWrap/>
        <w:overflowPunct/>
        <w:topLinePunct w:val="0"/>
        <w:bidi w:val="0"/>
        <w:adjustRightInd w:val="0"/>
        <w:snapToGrid w:val="0"/>
        <w:spacing w:line="580" w:lineRule="atLeast"/>
        <w:ind w:right="0" w:rightChars="0" w:firstLine="642" w:firstLineChars="200"/>
        <w:textAlignment w:val="auto"/>
        <w:rPr>
          <w:rFonts w:hint="eastAsia" w:ascii="仿宋_GB2312" w:hAnsi="Times New Roman" w:eastAsia="仿宋_GB2312"/>
          <w:color w:val="auto"/>
          <w:spacing w:val="0"/>
          <w:sz w:val="32"/>
          <w:szCs w:val="32"/>
          <w:highlight w:val="none"/>
          <w:shd w:val="clear" w:color="auto" w:fill="FFFFFF"/>
          <w:lang w:eastAsia="zh-CN"/>
        </w:rPr>
      </w:pPr>
      <w:r>
        <w:rPr>
          <w:rFonts w:hint="eastAsia" w:ascii="仿宋_GB2312" w:hAnsi="Times New Roman" w:eastAsia="仿宋_GB2312"/>
          <w:b/>
          <w:bCs/>
          <w:color w:val="auto"/>
          <w:spacing w:val="0"/>
          <w:sz w:val="32"/>
          <w:szCs w:val="32"/>
          <w:highlight w:val="none"/>
          <w:shd w:val="clear" w:color="auto" w:fill="FFFFFF"/>
        </w:rPr>
        <w:t xml:space="preserve">第十一条 </w:t>
      </w:r>
      <w:r>
        <w:rPr>
          <w:rFonts w:hint="eastAsia" w:ascii="仿宋_GB2312" w:hAnsi="Times New Roman" w:eastAsia="仿宋_GB2312"/>
          <w:b/>
          <w:bCs/>
          <w:color w:val="auto"/>
          <w:spacing w:val="0"/>
          <w:sz w:val="32"/>
          <w:szCs w:val="32"/>
          <w:highlight w:val="none"/>
          <w:shd w:val="clear" w:color="auto" w:fill="FFFFFF"/>
          <w:lang w:val="en-US" w:eastAsia="zh-CN"/>
        </w:rPr>
        <w:t xml:space="preserve"> </w:t>
      </w:r>
      <w:r>
        <w:rPr>
          <w:rFonts w:hint="eastAsia" w:ascii="仿宋_GB2312" w:hAnsi="Times New Roman" w:eastAsia="仿宋_GB2312"/>
          <w:color w:val="auto"/>
          <w:spacing w:val="0"/>
          <w:sz w:val="32"/>
          <w:szCs w:val="32"/>
          <w:highlight w:val="none"/>
          <w:shd w:val="clear" w:color="auto" w:fill="FFFFFF"/>
        </w:rPr>
        <w:t>一个自然年度内</w:t>
      </w:r>
      <w:r>
        <w:rPr>
          <w:rFonts w:hint="eastAsia" w:ascii="仿宋_GB2312" w:hAnsi="Times New Roman" w:eastAsia="仿宋_GB2312"/>
          <w:color w:val="auto"/>
          <w:spacing w:val="0"/>
          <w:sz w:val="32"/>
          <w:szCs w:val="32"/>
          <w:highlight w:val="none"/>
          <w:shd w:val="clear" w:color="auto" w:fill="FFFFFF"/>
          <w:lang w:eastAsia="zh-CN"/>
        </w:rPr>
        <w:t>，统筹基金年度</w:t>
      </w:r>
      <w:r>
        <w:rPr>
          <w:rFonts w:hint="eastAsia" w:ascii="仿宋_GB2312" w:hAnsi="Times New Roman" w:eastAsia="仿宋_GB2312"/>
          <w:color w:val="auto"/>
          <w:spacing w:val="0"/>
          <w:sz w:val="32"/>
          <w:szCs w:val="32"/>
          <w:highlight w:val="none"/>
          <w:shd w:val="clear" w:color="auto" w:fill="FFFFFF"/>
        </w:rPr>
        <w:t>起付标准以下的，由个人支付；</w:t>
      </w:r>
      <w:r>
        <w:rPr>
          <w:rFonts w:hint="eastAsia" w:ascii="仿宋_GB2312" w:hAnsi="Times New Roman" w:eastAsia="仿宋_GB2312"/>
          <w:color w:val="auto"/>
          <w:spacing w:val="0"/>
          <w:sz w:val="32"/>
          <w:szCs w:val="32"/>
          <w:highlight w:val="none"/>
          <w:shd w:val="clear" w:color="auto" w:fill="FFFFFF"/>
          <w:lang w:eastAsia="zh-CN"/>
        </w:rPr>
        <w:t>统筹基金年度</w:t>
      </w:r>
      <w:r>
        <w:rPr>
          <w:rFonts w:hint="eastAsia" w:ascii="仿宋_GB2312" w:hAnsi="Times New Roman" w:eastAsia="仿宋_GB2312"/>
          <w:color w:val="auto"/>
          <w:spacing w:val="0"/>
          <w:sz w:val="32"/>
          <w:szCs w:val="32"/>
          <w:highlight w:val="none"/>
          <w:shd w:val="clear" w:color="auto" w:fill="FFFFFF"/>
        </w:rPr>
        <w:t>起付标准以上、统筹基金年度最高支付限额以下的，由统筹基金和参保人员按比例承担。</w:t>
      </w:r>
      <w:r>
        <w:rPr>
          <w:rFonts w:hint="eastAsia" w:ascii="仿宋_GB2312" w:hAnsi="Times New Roman" w:eastAsia="仿宋_GB2312"/>
          <w:color w:val="auto"/>
          <w:spacing w:val="0"/>
          <w:sz w:val="32"/>
          <w:szCs w:val="32"/>
          <w:highlight w:val="none"/>
          <w:shd w:val="clear" w:color="auto" w:fill="FFFFFF"/>
          <w:lang w:eastAsia="zh-CN"/>
        </w:rPr>
        <w:t>各级定点医疗机构统筹基金年度起付标准为</w:t>
      </w:r>
      <w:r>
        <w:rPr>
          <w:rFonts w:hint="eastAsia" w:ascii="仿宋_GB2312" w:hAnsi="Times New Roman" w:eastAsia="仿宋_GB2312"/>
          <w:color w:val="auto"/>
          <w:spacing w:val="0"/>
          <w:sz w:val="32"/>
          <w:szCs w:val="32"/>
          <w:highlight w:val="none"/>
          <w:shd w:val="clear" w:color="auto" w:fill="FFFFFF"/>
        </w:rPr>
        <w:t>三级</w:t>
      </w:r>
      <w:r>
        <w:rPr>
          <w:rFonts w:hint="eastAsia" w:ascii="仿宋_GB2312" w:hAnsi="Times New Roman" w:eastAsia="仿宋_GB2312"/>
          <w:color w:val="auto"/>
          <w:spacing w:val="0"/>
          <w:sz w:val="32"/>
          <w:szCs w:val="32"/>
          <w:highlight w:val="none"/>
          <w:shd w:val="clear" w:color="auto" w:fill="FFFFFF"/>
          <w:lang w:eastAsia="zh-CN"/>
        </w:rPr>
        <w:t>医疗机构</w:t>
      </w:r>
      <w:r>
        <w:rPr>
          <w:rFonts w:hint="eastAsia" w:ascii="仿宋_GB2312" w:hAnsi="Times New Roman" w:eastAsia="仿宋_GB2312"/>
          <w:color w:val="auto"/>
          <w:spacing w:val="0"/>
          <w:sz w:val="32"/>
          <w:szCs w:val="32"/>
          <w:highlight w:val="none"/>
          <w:shd w:val="clear" w:color="auto" w:fill="FFFFFF"/>
        </w:rPr>
        <w:t>300元，二级</w:t>
      </w:r>
      <w:r>
        <w:rPr>
          <w:rFonts w:hint="eastAsia" w:ascii="仿宋_GB2312" w:hAnsi="Times New Roman" w:eastAsia="仿宋_GB2312"/>
          <w:color w:val="auto"/>
          <w:spacing w:val="0"/>
          <w:sz w:val="32"/>
          <w:szCs w:val="32"/>
          <w:highlight w:val="none"/>
          <w:shd w:val="clear" w:color="auto" w:fill="FFFFFF"/>
          <w:lang w:eastAsia="zh-CN"/>
        </w:rPr>
        <w:t>医疗机构</w:t>
      </w:r>
      <w:r>
        <w:rPr>
          <w:rFonts w:hint="eastAsia" w:ascii="仿宋_GB2312" w:hAnsi="Times New Roman" w:eastAsia="仿宋_GB2312"/>
          <w:color w:val="auto"/>
          <w:spacing w:val="0"/>
          <w:sz w:val="32"/>
          <w:szCs w:val="32"/>
          <w:highlight w:val="none"/>
          <w:shd w:val="clear" w:color="auto" w:fill="FFFFFF"/>
        </w:rPr>
        <w:t>100元（合并计入三级</w:t>
      </w:r>
      <w:r>
        <w:rPr>
          <w:rFonts w:hint="eastAsia" w:ascii="仿宋_GB2312" w:hAnsi="Times New Roman" w:eastAsia="仿宋_GB2312"/>
          <w:color w:val="auto"/>
          <w:spacing w:val="0"/>
          <w:sz w:val="32"/>
          <w:szCs w:val="32"/>
          <w:highlight w:val="none"/>
          <w:shd w:val="clear" w:color="auto" w:fill="FFFFFF"/>
          <w:lang w:eastAsia="zh-CN"/>
        </w:rPr>
        <w:t>医疗机构年度</w:t>
      </w:r>
      <w:r>
        <w:rPr>
          <w:rFonts w:hint="eastAsia" w:ascii="仿宋_GB2312" w:hAnsi="Times New Roman" w:eastAsia="仿宋_GB2312"/>
          <w:color w:val="auto"/>
          <w:spacing w:val="0"/>
          <w:sz w:val="32"/>
          <w:szCs w:val="32"/>
          <w:highlight w:val="none"/>
          <w:shd w:val="clear" w:color="auto" w:fill="FFFFFF"/>
        </w:rPr>
        <w:t>起付标准），一级</w:t>
      </w:r>
      <w:r>
        <w:rPr>
          <w:rFonts w:hint="eastAsia" w:ascii="仿宋_GB2312" w:hAnsi="Times New Roman" w:eastAsia="仿宋_GB2312"/>
          <w:color w:val="auto"/>
          <w:spacing w:val="0"/>
          <w:sz w:val="32"/>
          <w:szCs w:val="32"/>
          <w:highlight w:val="none"/>
          <w:shd w:val="clear" w:color="auto" w:fill="FFFFFF"/>
          <w:lang w:eastAsia="zh-CN"/>
        </w:rPr>
        <w:t>医疗机构</w:t>
      </w:r>
      <w:r>
        <w:rPr>
          <w:rFonts w:hint="eastAsia" w:ascii="仿宋_GB2312" w:hAnsi="Times New Roman" w:eastAsia="仿宋_GB2312"/>
          <w:color w:val="auto"/>
          <w:spacing w:val="0"/>
          <w:sz w:val="32"/>
          <w:szCs w:val="32"/>
          <w:highlight w:val="none"/>
          <w:shd w:val="clear" w:color="auto" w:fill="FFFFFF"/>
        </w:rPr>
        <w:t>不设起付标准</w:t>
      </w:r>
      <w:r>
        <w:rPr>
          <w:rFonts w:hint="eastAsia" w:ascii="仿宋_GB2312" w:hAnsi="Times New Roman" w:eastAsia="仿宋_GB2312"/>
          <w:color w:val="auto"/>
          <w:spacing w:val="0"/>
          <w:sz w:val="32"/>
          <w:szCs w:val="32"/>
          <w:highlight w:val="none"/>
          <w:shd w:val="clear" w:color="auto" w:fill="FFFFFF"/>
          <w:lang w:eastAsia="zh-CN"/>
        </w:rPr>
        <w:t>。各级定点医疗机构报销比例，在职职工为</w:t>
      </w:r>
      <w:r>
        <w:rPr>
          <w:rFonts w:hint="eastAsia" w:ascii="仿宋_GB2312" w:hAnsi="Times New Roman" w:eastAsia="仿宋_GB2312"/>
          <w:color w:val="auto"/>
          <w:spacing w:val="0"/>
          <w:sz w:val="32"/>
          <w:szCs w:val="32"/>
          <w:highlight w:val="none"/>
          <w:shd w:val="clear" w:color="auto" w:fill="FFFFFF"/>
        </w:rPr>
        <w:t>三甲</w:t>
      </w:r>
      <w:r>
        <w:rPr>
          <w:rFonts w:hint="eastAsia" w:ascii="仿宋_GB2312" w:hAnsi="Times New Roman" w:eastAsia="仿宋_GB2312"/>
          <w:color w:val="auto"/>
          <w:spacing w:val="0"/>
          <w:sz w:val="32"/>
          <w:szCs w:val="32"/>
          <w:highlight w:val="none"/>
          <w:shd w:val="clear" w:color="auto" w:fill="FFFFFF"/>
          <w:lang w:eastAsia="zh-CN"/>
        </w:rPr>
        <w:t>医疗机构</w:t>
      </w:r>
      <w:r>
        <w:rPr>
          <w:rFonts w:hint="eastAsia" w:ascii="仿宋_GB2312" w:hAnsi="Times New Roman" w:eastAsia="仿宋_GB2312"/>
          <w:color w:val="auto"/>
          <w:spacing w:val="0"/>
          <w:sz w:val="32"/>
          <w:szCs w:val="32"/>
          <w:highlight w:val="none"/>
          <w:shd w:val="clear" w:color="auto" w:fill="FFFFFF"/>
          <w:lang w:val="en-US" w:eastAsia="zh-CN"/>
        </w:rPr>
        <w:t>60</w:t>
      </w:r>
      <w:r>
        <w:rPr>
          <w:rFonts w:hint="eastAsia" w:ascii="仿宋_GB2312" w:hAnsi="Times New Roman" w:eastAsia="仿宋_GB2312"/>
          <w:color w:val="auto"/>
          <w:spacing w:val="0"/>
          <w:sz w:val="32"/>
          <w:szCs w:val="32"/>
          <w:highlight w:val="none"/>
          <w:shd w:val="clear" w:color="auto" w:fill="FFFFFF"/>
        </w:rPr>
        <w:t>%</w:t>
      </w:r>
      <w:r>
        <w:rPr>
          <w:rFonts w:hint="eastAsia" w:ascii="仿宋_GB2312" w:hAnsi="Times New Roman" w:eastAsia="仿宋_GB2312"/>
          <w:color w:val="auto"/>
          <w:spacing w:val="0"/>
          <w:sz w:val="32"/>
          <w:szCs w:val="32"/>
          <w:highlight w:val="none"/>
          <w:shd w:val="clear" w:color="auto" w:fill="FFFFFF"/>
          <w:lang w:eastAsia="zh-CN"/>
        </w:rPr>
        <w:t>、</w:t>
      </w:r>
      <w:r>
        <w:rPr>
          <w:rFonts w:hint="eastAsia" w:ascii="仿宋_GB2312" w:hAnsi="Times New Roman" w:eastAsia="仿宋_GB2312"/>
          <w:color w:val="auto"/>
          <w:spacing w:val="0"/>
          <w:sz w:val="32"/>
          <w:szCs w:val="32"/>
          <w:highlight w:val="none"/>
          <w:shd w:val="clear" w:color="auto" w:fill="FFFFFF"/>
        </w:rPr>
        <w:t>三</w:t>
      </w:r>
      <w:r>
        <w:rPr>
          <w:rFonts w:hint="eastAsia" w:ascii="仿宋_GB2312" w:hAnsi="Times New Roman" w:eastAsia="仿宋_GB2312"/>
          <w:color w:val="auto"/>
          <w:spacing w:val="0"/>
          <w:sz w:val="32"/>
          <w:szCs w:val="32"/>
          <w:highlight w:val="none"/>
          <w:shd w:val="clear" w:color="auto" w:fill="FFFFFF"/>
          <w:lang w:eastAsia="zh-Hans"/>
        </w:rPr>
        <w:t>乙</w:t>
      </w:r>
      <w:r>
        <w:rPr>
          <w:rFonts w:hint="eastAsia" w:ascii="仿宋_GB2312" w:hAnsi="Times New Roman" w:eastAsia="仿宋_GB2312"/>
          <w:color w:val="auto"/>
          <w:spacing w:val="0"/>
          <w:sz w:val="32"/>
          <w:szCs w:val="32"/>
          <w:highlight w:val="none"/>
          <w:shd w:val="clear" w:color="auto" w:fill="FFFFFF"/>
          <w:lang w:eastAsia="zh-CN"/>
        </w:rPr>
        <w:t>医疗机构</w:t>
      </w:r>
      <w:r>
        <w:rPr>
          <w:rFonts w:hint="eastAsia" w:ascii="仿宋_GB2312" w:hAnsi="Times New Roman" w:eastAsia="仿宋_GB2312"/>
          <w:color w:val="auto"/>
          <w:spacing w:val="0"/>
          <w:sz w:val="32"/>
          <w:szCs w:val="32"/>
          <w:highlight w:val="none"/>
          <w:shd w:val="clear" w:color="auto" w:fill="FFFFFF"/>
          <w:lang w:val="en-US" w:eastAsia="zh-CN"/>
        </w:rPr>
        <w:t>65</w:t>
      </w:r>
      <w:r>
        <w:rPr>
          <w:rFonts w:hint="eastAsia" w:ascii="仿宋_GB2312" w:hAnsi="Times New Roman" w:eastAsia="仿宋_GB2312"/>
          <w:color w:val="auto"/>
          <w:spacing w:val="0"/>
          <w:sz w:val="32"/>
          <w:szCs w:val="32"/>
          <w:highlight w:val="none"/>
          <w:shd w:val="clear" w:color="auto" w:fill="FFFFFF"/>
        </w:rPr>
        <w:t>%</w:t>
      </w:r>
      <w:r>
        <w:rPr>
          <w:rFonts w:hint="eastAsia" w:ascii="仿宋_GB2312" w:hAnsi="Times New Roman" w:eastAsia="仿宋_GB2312"/>
          <w:color w:val="auto"/>
          <w:spacing w:val="0"/>
          <w:sz w:val="32"/>
          <w:szCs w:val="32"/>
          <w:highlight w:val="none"/>
          <w:shd w:val="clear" w:color="auto" w:fill="FFFFFF"/>
          <w:lang w:eastAsia="zh-CN"/>
        </w:rPr>
        <w:t>、</w:t>
      </w:r>
      <w:r>
        <w:rPr>
          <w:rFonts w:hint="eastAsia" w:ascii="仿宋_GB2312" w:hAnsi="Times New Roman" w:eastAsia="仿宋_GB2312"/>
          <w:color w:val="auto"/>
          <w:spacing w:val="0"/>
          <w:sz w:val="32"/>
          <w:szCs w:val="32"/>
          <w:highlight w:val="none"/>
          <w:shd w:val="clear" w:color="auto" w:fill="FFFFFF"/>
        </w:rPr>
        <w:t>二级</w:t>
      </w:r>
      <w:r>
        <w:rPr>
          <w:rFonts w:hint="eastAsia" w:ascii="仿宋_GB2312" w:hAnsi="Times New Roman" w:eastAsia="仿宋_GB2312"/>
          <w:color w:val="auto"/>
          <w:spacing w:val="0"/>
          <w:sz w:val="32"/>
          <w:szCs w:val="32"/>
          <w:highlight w:val="none"/>
          <w:shd w:val="clear" w:color="auto" w:fill="FFFFFF"/>
          <w:lang w:eastAsia="zh-CN"/>
        </w:rPr>
        <w:t>医疗机构</w:t>
      </w:r>
      <w:r>
        <w:rPr>
          <w:rFonts w:hint="eastAsia" w:ascii="仿宋_GB2312" w:hAnsi="Times New Roman" w:eastAsia="仿宋_GB2312"/>
          <w:color w:val="auto"/>
          <w:spacing w:val="0"/>
          <w:sz w:val="32"/>
          <w:szCs w:val="32"/>
          <w:highlight w:val="none"/>
          <w:shd w:val="clear" w:color="auto" w:fill="FFFFFF"/>
          <w:lang w:val="en-US" w:eastAsia="zh-CN"/>
        </w:rPr>
        <w:t>70</w:t>
      </w:r>
      <w:r>
        <w:rPr>
          <w:rFonts w:hint="eastAsia" w:ascii="仿宋_GB2312" w:hAnsi="Times New Roman" w:eastAsia="仿宋_GB2312"/>
          <w:color w:val="auto"/>
          <w:spacing w:val="0"/>
          <w:sz w:val="32"/>
          <w:szCs w:val="32"/>
          <w:highlight w:val="none"/>
          <w:shd w:val="clear" w:color="auto" w:fill="FFFFFF"/>
        </w:rPr>
        <w:t>%</w:t>
      </w:r>
      <w:r>
        <w:rPr>
          <w:rFonts w:hint="eastAsia" w:ascii="仿宋_GB2312" w:hAnsi="Times New Roman" w:eastAsia="仿宋_GB2312"/>
          <w:color w:val="auto"/>
          <w:spacing w:val="0"/>
          <w:sz w:val="32"/>
          <w:szCs w:val="32"/>
          <w:highlight w:val="none"/>
          <w:shd w:val="clear" w:color="auto" w:fill="FFFFFF"/>
          <w:lang w:eastAsia="zh-CN"/>
        </w:rPr>
        <w:t>、</w:t>
      </w:r>
      <w:r>
        <w:rPr>
          <w:rFonts w:hint="eastAsia" w:ascii="仿宋_GB2312" w:hAnsi="Times New Roman" w:eastAsia="仿宋_GB2312"/>
          <w:color w:val="auto"/>
          <w:spacing w:val="0"/>
          <w:sz w:val="32"/>
          <w:szCs w:val="32"/>
          <w:highlight w:val="none"/>
          <w:shd w:val="clear" w:color="auto" w:fill="FFFFFF"/>
        </w:rPr>
        <w:t>一级</w:t>
      </w:r>
      <w:r>
        <w:rPr>
          <w:rFonts w:hint="eastAsia" w:ascii="仿宋_GB2312" w:hAnsi="Times New Roman" w:eastAsia="仿宋_GB2312"/>
          <w:color w:val="auto"/>
          <w:spacing w:val="0"/>
          <w:sz w:val="32"/>
          <w:szCs w:val="32"/>
          <w:highlight w:val="none"/>
          <w:shd w:val="clear" w:color="auto" w:fill="FFFFFF"/>
          <w:lang w:eastAsia="zh-CN"/>
        </w:rPr>
        <w:t>医疗机构</w:t>
      </w:r>
      <w:r>
        <w:rPr>
          <w:rFonts w:hint="eastAsia" w:ascii="仿宋_GB2312" w:hAnsi="Times New Roman" w:eastAsia="仿宋_GB2312"/>
          <w:color w:val="auto"/>
          <w:spacing w:val="0"/>
          <w:sz w:val="32"/>
          <w:szCs w:val="32"/>
          <w:highlight w:val="none"/>
          <w:shd w:val="clear" w:color="auto" w:fill="FFFFFF"/>
        </w:rPr>
        <w:t>7</w:t>
      </w:r>
      <w:r>
        <w:rPr>
          <w:rFonts w:hint="eastAsia" w:ascii="仿宋_GB2312" w:hAnsi="Times New Roman" w:eastAsia="仿宋_GB2312"/>
          <w:color w:val="auto"/>
          <w:spacing w:val="0"/>
          <w:sz w:val="32"/>
          <w:szCs w:val="32"/>
          <w:highlight w:val="none"/>
          <w:shd w:val="clear" w:color="auto" w:fill="FFFFFF"/>
          <w:lang w:val="en-US" w:eastAsia="zh-CN"/>
        </w:rPr>
        <w:t>5</w:t>
      </w:r>
      <w:r>
        <w:rPr>
          <w:rFonts w:hint="eastAsia" w:ascii="仿宋_GB2312" w:hAnsi="Times New Roman" w:eastAsia="仿宋_GB2312"/>
          <w:color w:val="auto"/>
          <w:spacing w:val="0"/>
          <w:sz w:val="32"/>
          <w:szCs w:val="32"/>
          <w:highlight w:val="none"/>
          <w:shd w:val="clear" w:color="auto" w:fill="FFFFFF"/>
        </w:rPr>
        <w:t>%</w:t>
      </w:r>
      <w:r>
        <w:rPr>
          <w:rFonts w:hint="eastAsia" w:ascii="仿宋_GB2312" w:hAnsi="Times New Roman" w:eastAsia="仿宋_GB2312"/>
          <w:color w:val="auto"/>
          <w:spacing w:val="0"/>
          <w:sz w:val="32"/>
          <w:szCs w:val="32"/>
          <w:highlight w:val="none"/>
          <w:shd w:val="clear" w:color="auto" w:fill="FFFFFF"/>
          <w:lang w:eastAsia="zh-CN"/>
        </w:rPr>
        <w:t>，</w:t>
      </w:r>
      <w:r>
        <w:rPr>
          <w:rFonts w:hint="eastAsia" w:ascii="仿宋_GB2312" w:hAnsi="Times New Roman" w:eastAsia="仿宋_GB2312"/>
          <w:color w:val="auto"/>
          <w:spacing w:val="0"/>
          <w:sz w:val="32"/>
          <w:szCs w:val="32"/>
          <w:highlight w:val="none"/>
          <w:shd w:val="clear" w:color="auto" w:fill="FFFFFF"/>
        </w:rPr>
        <w:t>退休人员为三甲</w:t>
      </w:r>
      <w:r>
        <w:rPr>
          <w:rFonts w:hint="eastAsia" w:ascii="仿宋_GB2312" w:hAnsi="Times New Roman" w:eastAsia="仿宋_GB2312"/>
          <w:color w:val="auto"/>
          <w:spacing w:val="0"/>
          <w:sz w:val="32"/>
          <w:szCs w:val="32"/>
          <w:highlight w:val="none"/>
          <w:shd w:val="clear" w:color="auto" w:fill="FFFFFF"/>
          <w:lang w:eastAsia="zh-CN"/>
        </w:rPr>
        <w:t>医疗机构</w:t>
      </w:r>
      <w:r>
        <w:rPr>
          <w:rFonts w:hint="eastAsia" w:ascii="仿宋_GB2312" w:hAnsi="Times New Roman" w:eastAsia="仿宋_GB2312"/>
          <w:color w:val="auto"/>
          <w:spacing w:val="0"/>
          <w:sz w:val="32"/>
          <w:szCs w:val="32"/>
          <w:highlight w:val="none"/>
          <w:shd w:val="clear" w:color="auto" w:fill="FFFFFF"/>
          <w:lang w:val="en-US" w:eastAsia="zh-CN"/>
        </w:rPr>
        <w:t>65</w:t>
      </w:r>
      <w:r>
        <w:rPr>
          <w:rFonts w:hint="eastAsia" w:ascii="仿宋_GB2312" w:hAnsi="Times New Roman" w:eastAsia="仿宋_GB2312"/>
          <w:color w:val="auto"/>
          <w:spacing w:val="0"/>
          <w:sz w:val="32"/>
          <w:szCs w:val="32"/>
          <w:highlight w:val="none"/>
          <w:shd w:val="clear" w:color="auto" w:fill="FFFFFF"/>
        </w:rPr>
        <w:t>%</w:t>
      </w:r>
      <w:r>
        <w:rPr>
          <w:rFonts w:hint="eastAsia" w:ascii="仿宋_GB2312" w:hAnsi="Times New Roman" w:eastAsia="仿宋_GB2312"/>
          <w:color w:val="auto"/>
          <w:spacing w:val="0"/>
          <w:sz w:val="32"/>
          <w:szCs w:val="32"/>
          <w:highlight w:val="none"/>
          <w:shd w:val="clear" w:color="auto" w:fill="FFFFFF"/>
          <w:lang w:eastAsia="zh-CN"/>
        </w:rPr>
        <w:t>、</w:t>
      </w:r>
      <w:r>
        <w:rPr>
          <w:rFonts w:hint="eastAsia" w:ascii="仿宋_GB2312" w:hAnsi="Times New Roman" w:eastAsia="仿宋_GB2312"/>
          <w:color w:val="auto"/>
          <w:spacing w:val="0"/>
          <w:sz w:val="32"/>
          <w:szCs w:val="32"/>
          <w:highlight w:val="none"/>
          <w:shd w:val="clear" w:color="auto" w:fill="FFFFFF"/>
        </w:rPr>
        <w:t>三</w:t>
      </w:r>
      <w:r>
        <w:rPr>
          <w:rFonts w:hint="eastAsia" w:ascii="仿宋_GB2312" w:hAnsi="Times New Roman" w:eastAsia="仿宋_GB2312"/>
          <w:color w:val="auto"/>
          <w:spacing w:val="0"/>
          <w:sz w:val="32"/>
          <w:szCs w:val="32"/>
          <w:highlight w:val="none"/>
          <w:shd w:val="clear" w:color="auto" w:fill="FFFFFF"/>
          <w:lang w:eastAsia="zh-Hans"/>
        </w:rPr>
        <w:t>乙</w:t>
      </w:r>
      <w:r>
        <w:rPr>
          <w:rFonts w:hint="eastAsia" w:ascii="仿宋_GB2312" w:hAnsi="Times New Roman" w:eastAsia="仿宋_GB2312"/>
          <w:color w:val="auto"/>
          <w:spacing w:val="0"/>
          <w:sz w:val="32"/>
          <w:szCs w:val="32"/>
          <w:highlight w:val="none"/>
          <w:shd w:val="clear" w:color="auto" w:fill="FFFFFF"/>
          <w:lang w:eastAsia="zh-CN"/>
        </w:rPr>
        <w:t>医疗机构</w:t>
      </w:r>
      <w:r>
        <w:rPr>
          <w:rFonts w:hint="eastAsia" w:ascii="仿宋_GB2312" w:hAnsi="Times New Roman" w:eastAsia="仿宋_GB2312"/>
          <w:color w:val="auto"/>
          <w:spacing w:val="0"/>
          <w:sz w:val="32"/>
          <w:szCs w:val="32"/>
          <w:highlight w:val="none"/>
          <w:shd w:val="clear" w:color="auto" w:fill="FFFFFF"/>
          <w:lang w:val="en-US" w:eastAsia="zh-CN"/>
        </w:rPr>
        <w:t>70</w:t>
      </w:r>
      <w:r>
        <w:rPr>
          <w:rFonts w:hint="eastAsia" w:ascii="仿宋_GB2312" w:hAnsi="Times New Roman" w:eastAsia="仿宋_GB2312"/>
          <w:color w:val="auto"/>
          <w:spacing w:val="0"/>
          <w:sz w:val="32"/>
          <w:szCs w:val="32"/>
          <w:highlight w:val="none"/>
          <w:shd w:val="clear" w:color="auto" w:fill="FFFFFF"/>
        </w:rPr>
        <w:t>%</w:t>
      </w:r>
      <w:r>
        <w:rPr>
          <w:rFonts w:hint="eastAsia" w:ascii="仿宋_GB2312" w:hAnsi="Times New Roman" w:eastAsia="仿宋_GB2312"/>
          <w:color w:val="auto"/>
          <w:spacing w:val="0"/>
          <w:sz w:val="32"/>
          <w:szCs w:val="32"/>
          <w:highlight w:val="none"/>
          <w:shd w:val="clear" w:color="auto" w:fill="FFFFFF"/>
          <w:lang w:eastAsia="zh-CN"/>
        </w:rPr>
        <w:t>、</w:t>
      </w:r>
      <w:r>
        <w:rPr>
          <w:rFonts w:hint="eastAsia" w:ascii="仿宋_GB2312" w:hAnsi="Times New Roman" w:eastAsia="仿宋_GB2312"/>
          <w:color w:val="auto"/>
          <w:spacing w:val="0"/>
          <w:sz w:val="32"/>
          <w:szCs w:val="32"/>
          <w:highlight w:val="none"/>
          <w:shd w:val="clear" w:color="auto" w:fill="FFFFFF"/>
        </w:rPr>
        <w:t>二级</w:t>
      </w:r>
      <w:r>
        <w:rPr>
          <w:rFonts w:hint="eastAsia" w:ascii="仿宋_GB2312" w:hAnsi="Times New Roman" w:eastAsia="仿宋_GB2312"/>
          <w:color w:val="auto"/>
          <w:spacing w:val="0"/>
          <w:sz w:val="32"/>
          <w:szCs w:val="32"/>
          <w:highlight w:val="none"/>
          <w:shd w:val="clear" w:color="auto" w:fill="FFFFFF"/>
          <w:lang w:eastAsia="zh-CN"/>
        </w:rPr>
        <w:t>医疗机构</w:t>
      </w:r>
      <w:r>
        <w:rPr>
          <w:rFonts w:hint="eastAsia" w:ascii="仿宋_GB2312" w:hAnsi="Times New Roman" w:eastAsia="仿宋_GB2312"/>
          <w:color w:val="auto"/>
          <w:spacing w:val="0"/>
          <w:sz w:val="32"/>
          <w:szCs w:val="32"/>
          <w:highlight w:val="none"/>
          <w:shd w:val="clear" w:color="auto" w:fill="FFFFFF"/>
          <w:lang w:val="en-US" w:eastAsia="zh-CN"/>
        </w:rPr>
        <w:t>75</w:t>
      </w:r>
      <w:r>
        <w:rPr>
          <w:rFonts w:hint="eastAsia" w:ascii="仿宋_GB2312" w:hAnsi="Times New Roman" w:eastAsia="仿宋_GB2312"/>
          <w:color w:val="auto"/>
          <w:spacing w:val="0"/>
          <w:sz w:val="32"/>
          <w:szCs w:val="32"/>
          <w:highlight w:val="none"/>
          <w:shd w:val="clear" w:color="auto" w:fill="FFFFFF"/>
        </w:rPr>
        <w:t>%</w:t>
      </w:r>
      <w:r>
        <w:rPr>
          <w:rFonts w:hint="eastAsia" w:ascii="仿宋_GB2312" w:hAnsi="Times New Roman" w:eastAsia="仿宋_GB2312"/>
          <w:color w:val="auto"/>
          <w:spacing w:val="0"/>
          <w:sz w:val="32"/>
          <w:szCs w:val="32"/>
          <w:highlight w:val="none"/>
          <w:shd w:val="clear" w:color="auto" w:fill="FFFFFF"/>
          <w:lang w:eastAsia="zh-CN"/>
        </w:rPr>
        <w:t>、</w:t>
      </w:r>
      <w:r>
        <w:rPr>
          <w:rFonts w:hint="eastAsia" w:ascii="仿宋_GB2312" w:hAnsi="Times New Roman" w:eastAsia="仿宋_GB2312"/>
          <w:color w:val="auto"/>
          <w:spacing w:val="0"/>
          <w:sz w:val="32"/>
          <w:szCs w:val="32"/>
          <w:highlight w:val="none"/>
          <w:shd w:val="clear" w:color="auto" w:fill="FFFFFF"/>
        </w:rPr>
        <w:t>一级</w:t>
      </w:r>
      <w:r>
        <w:rPr>
          <w:rFonts w:hint="eastAsia" w:ascii="仿宋_GB2312" w:hAnsi="Times New Roman" w:eastAsia="仿宋_GB2312"/>
          <w:color w:val="auto"/>
          <w:spacing w:val="0"/>
          <w:sz w:val="32"/>
          <w:szCs w:val="32"/>
          <w:highlight w:val="none"/>
          <w:shd w:val="clear" w:color="auto" w:fill="FFFFFF"/>
          <w:lang w:eastAsia="zh-CN"/>
        </w:rPr>
        <w:t>医疗机构</w:t>
      </w:r>
      <w:r>
        <w:rPr>
          <w:rFonts w:hint="eastAsia" w:ascii="仿宋_GB2312" w:hAnsi="Times New Roman" w:eastAsia="仿宋_GB2312"/>
          <w:color w:val="auto"/>
          <w:spacing w:val="0"/>
          <w:sz w:val="32"/>
          <w:szCs w:val="32"/>
          <w:highlight w:val="none"/>
          <w:shd w:val="clear" w:color="auto" w:fill="FFFFFF"/>
          <w:lang w:val="en-US" w:eastAsia="zh-CN"/>
        </w:rPr>
        <w:t>80</w:t>
      </w:r>
      <w:r>
        <w:rPr>
          <w:rFonts w:hint="eastAsia" w:ascii="仿宋_GB2312" w:hAnsi="Times New Roman" w:eastAsia="仿宋_GB2312"/>
          <w:color w:val="auto"/>
          <w:spacing w:val="0"/>
          <w:sz w:val="32"/>
          <w:szCs w:val="32"/>
          <w:highlight w:val="none"/>
          <w:shd w:val="clear" w:color="auto" w:fill="FFFFFF"/>
        </w:rPr>
        <w:t>%</w:t>
      </w:r>
      <w:r>
        <w:rPr>
          <w:rFonts w:hint="eastAsia" w:ascii="仿宋_GB2312" w:hAnsi="Times New Roman" w:eastAsia="仿宋_GB2312"/>
          <w:color w:val="auto"/>
          <w:spacing w:val="0"/>
          <w:sz w:val="32"/>
          <w:szCs w:val="32"/>
          <w:highlight w:val="none"/>
          <w:shd w:val="clear" w:color="auto" w:fill="FFFFFF"/>
          <w:lang w:eastAsia="zh-CN"/>
        </w:rPr>
        <w:t>。</w:t>
      </w:r>
      <w:r>
        <w:rPr>
          <w:rFonts w:hint="eastAsia" w:ascii="仿宋_GB2312" w:hAnsi="Times New Roman" w:eastAsia="仿宋_GB2312"/>
          <w:color w:val="auto"/>
          <w:spacing w:val="0"/>
          <w:sz w:val="32"/>
          <w:szCs w:val="32"/>
          <w:highlight w:val="none"/>
          <w:shd w:val="clear" w:color="auto" w:fill="FFFFFF"/>
        </w:rPr>
        <w:t>统筹基金年度最高支付限额</w:t>
      </w:r>
      <w:r>
        <w:rPr>
          <w:rFonts w:hint="eastAsia" w:ascii="仿宋_GB2312" w:hAnsi="Times New Roman" w:eastAsia="仿宋_GB2312"/>
          <w:color w:val="auto"/>
          <w:spacing w:val="0"/>
          <w:sz w:val="32"/>
          <w:szCs w:val="32"/>
          <w:highlight w:val="none"/>
          <w:shd w:val="clear" w:color="auto" w:fill="FFFFFF"/>
          <w:lang w:eastAsia="zh-CN"/>
        </w:rPr>
        <w:t>，</w:t>
      </w:r>
      <w:r>
        <w:rPr>
          <w:rFonts w:hint="eastAsia" w:ascii="仿宋_GB2312" w:hAnsi="Times New Roman" w:eastAsia="仿宋_GB2312"/>
          <w:color w:val="auto"/>
          <w:spacing w:val="0"/>
          <w:sz w:val="32"/>
          <w:szCs w:val="32"/>
          <w:highlight w:val="none"/>
          <w:shd w:val="clear" w:color="auto" w:fill="FFFFFF"/>
        </w:rPr>
        <w:t>在职职工为</w:t>
      </w:r>
      <w:r>
        <w:rPr>
          <w:rFonts w:hint="eastAsia" w:ascii="仿宋_GB2312" w:hAnsi="Times New Roman" w:eastAsia="仿宋_GB2312"/>
          <w:color w:val="auto"/>
          <w:spacing w:val="0"/>
          <w:sz w:val="32"/>
          <w:szCs w:val="32"/>
          <w:highlight w:val="none"/>
          <w:shd w:val="clear" w:color="auto" w:fill="FFFFFF"/>
          <w:lang w:val="en-US" w:eastAsia="zh-CN"/>
        </w:rPr>
        <w:t>40</w:t>
      </w:r>
      <w:r>
        <w:rPr>
          <w:rFonts w:hint="eastAsia" w:ascii="仿宋_GB2312" w:hAnsi="Times New Roman" w:eastAsia="仿宋_GB2312"/>
          <w:color w:val="auto"/>
          <w:spacing w:val="0"/>
          <w:sz w:val="32"/>
          <w:szCs w:val="32"/>
          <w:highlight w:val="none"/>
          <w:shd w:val="clear" w:color="auto" w:fill="FFFFFF"/>
        </w:rPr>
        <w:t>00元，退休人员</w:t>
      </w:r>
      <w:r>
        <w:rPr>
          <w:rFonts w:hint="eastAsia" w:ascii="仿宋_GB2312" w:hAnsi="Times New Roman" w:eastAsia="仿宋_GB2312"/>
          <w:color w:val="auto"/>
          <w:spacing w:val="0"/>
          <w:sz w:val="32"/>
          <w:szCs w:val="32"/>
          <w:highlight w:val="none"/>
          <w:shd w:val="clear" w:color="auto" w:fill="FFFFFF"/>
          <w:lang w:eastAsia="zh-CN"/>
        </w:rPr>
        <w:t>为</w:t>
      </w:r>
      <w:r>
        <w:rPr>
          <w:rFonts w:hint="eastAsia" w:ascii="仿宋_GB2312" w:hAnsi="Times New Roman" w:eastAsia="仿宋_GB2312"/>
          <w:color w:val="auto"/>
          <w:spacing w:val="0"/>
          <w:sz w:val="32"/>
          <w:szCs w:val="32"/>
          <w:highlight w:val="none"/>
          <w:shd w:val="clear" w:color="auto" w:fill="FFFFFF"/>
          <w:lang w:val="en-US" w:eastAsia="zh-CN"/>
        </w:rPr>
        <w:t>45</w:t>
      </w:r>
      <w:r>
        <w:rPr>
          <w:rFonts w:hint="eastAsia" w:ascii="仿宋_GB2312" w:hAnsi="Times New Roman" w:eastAsia="仿宋_GB2312"/>
          <w:color w:val="auto"/>
          <w:spacing w:val="0"/>
          <w:sz w:val="32"/>
          <w:szCs w:val="32"/>
          <w:highlight w:val="none"/>
          <w:shd w:val="clear" w:color="auto" w:fill="FFFFFF"/>
          <w:lang w:eastAsia="zh-CN"/>
        </w:rPr>
        <w:t>00元</w:t>
      </w:r>
      <w:r>
        <w:rPr>
          <w:rFonts w:hint="eastAsia" w:ascii="仿宋_GB2312" w:hAnsi="Times New Roman" w:eastAsia="仿宋_GB2312"/>
          <w:color w:val="auto"/>
          <w:spacing w:val="0"/>
          <w:sz w:val="32"/>
          <w:szCs w:val="32"/>
          <w:highlight w:val="none"/>
          <w:shd w:val="clear" w:color="auto" w:fill="FFFFFF"/>
        </w:rPr>
        <w:t>。参保人员办理在职转退休手续</w:t>
      </w:r>
      <w:r>
        <w:rPr>
          <w:rFonts w:hint="eastAsia" w:ascii="仿宋_GB2312" w:hAnsi="Times New Roman" w:eastAsia="仿宋_GB2312"/>
          <w:color w:val="auto"/>
          <w:spacing w:val="0"/>
          <w:sz w:val="32"/>
          <w:szCs w:val="32"/>
          <w:highlight w:val="none"/>
          <w:shd w:val="clear" w:color="auto" w:fill="FFFFFF"/>
          <w:lang w:eastAsia="zh-CN"/>
        </w:rPr>
        <w:t>后</w:t>
      </w:r>
      <w:r>
        <w:rPr>
          <w:rFonts w:hint="eastAsia" w:ascii="仿宋_GB2312" w:hAnsi="Times New Roman" w:eastAsia="仿宋_GB2312"/>
          <w:color w:val="auto"/>
          <w:spacing w:val="0"/>
          <w:sz w:val="32"/>
          <w:szCs w:val="32"/>
          <w:highlight w:val="none"/>
          <w:shd w:val="clear" w:color="auto" w:fill="FFFFFF"/>
        </w:rPr>
        <w:t>，从次月起</w:t>
      </w:r>
      <w:r>
        <w:rPr>
          <w:rFonts w:hint="eastAsia" w:ascii="仿宋_GB2312" w:hAnsi="Times New Roman" w:eastAsia="仿宋_GB2312"/>
          <w:color w:val="auto"/>
          <w:spacing w:val="0"/>
          <w:sz w:val="32"/>
          <w:szCs w:val="32"/>
          <w:highlight w:val="none"/>
          <w:shd w:val="clear" w:color="auto" w:fill="FFFFFF"/>
          <w:lang w:eastAsia="zh-CN"/>
        </w:rPr>
        <w:t>享受退休人员</w:t>
      </w:r>
      <w:r>
        <w:rPr>
          <w:rFonts w:hint="eastAsia" w:ascii="仿宋_GB2312" w:hAnsi="Times New Roman" w:eastAsia="仿宋_GB2312"/>
          <w:color w:val="auto"/>
          <w:spacing w:val="0"/>
          <w:sz w:val="32"/>
          <w:szCs w:val="32"/>
          <w:highlight w:val="none"/>
          <w:shd w:val="clear" w:color="auto" w:fill="FFFFFF"/>
        </w:rPr>
        <w:t>普通门诊统筹待遇</w:t>
      </w:r>
      <w:r>
        <w:rPr>
          <w:rFonts w:hint="eastAsia" w:ascii="仿宋_GB2312" w:hAnsi="Times New Roman" w:eastAsia="仿宋_GB2312"/>
          <w:color w:val="auto"/>
          <w:spacing w:val="0"/>
          <w:sz w:val="32"/>
          <w:szCs w:val="32"/>
          <w:highlight w:val="none"/>
          <w:shd w:val="clear" w:color="auto" w:fill="FFFFFF"/>
          <w:lang w:eastAsia="zh-CN"/>
        </w:rPr>
        <w:t>。</w:t>
      </w:r>
    </w:p>
    <w:p>
      <w:pPr>
        <w:keepNext w:val="0"/>
        <w:keepLines w:val="0"/>
        <w:pageBreakBefore w:val="0"/>
        <w:widowControl w:val="0"/>
        <w:kinsoku/>
        <w:wordWrap/>
        <w:overflowPunct/>
        <w:topLinePunct w:val="0"/>
        <w:bidi w:val="0"/>
        <w:adjustRightInd w:val="0"/>
        <w:snapToGrid w:val="0"/>
        <w:spacing w:line="580" w:lineRule="atLeast"/>
        <w:ind w:right="0" w:rightChars="0" w:firstLine="642" w:firstLineChars="200"/>
        <w:textAlignment w:val="auto"/>
        <w:rPr>
          <w:rFonts w:hint="eastAsia" w:ascii="仿宋_GB2312" w:hAnsi="Times New Roman" w:eastAsia="仿宋_GB2312"/>
          <w:color w:val="auto"/>
          <w:spacing w:val="0"/>
          <w:sz w:val="32"/>
          <w:szCs w:val="32"/>
          <w:highlight w:val="none"/>
          <w:shd w:val="clear" w:color="auto" w:fill="FFFFFF"/>
        </w:rPr>
      </w:pPr>
      <w:r>
        <w:rPr>
          <w:rFonts w:hint="eastAsia" w:ascii="仿宋_GB2312" w:hAnsi="Times New Roman" w:eastAsia="仿宋_GB2312"/>
          <w:b/>
          <w:bCs/>
          <w:color w:val="auto"/>
          <w:spacing w:val="0"/>
          <w:sz w:val="32"/>
          <w:szCs w:val="32"/>
          <w:highlight w:val="none"/>
          <w:shd w:val="clear" w:color="auto" w:fill="FFFFFF"/>
          <w:lang w:eastAsia="zh"/>
        </w:rPr>
        <w:t>第</w:t>
      </w:r>
      <w:r>
        <w:rPr>
          <w:rFonts w:hint="eastAsia" w:ascii="仿宋_GB2312" w:hAnsi="Times New Roman" w:eastAsia="仿宋_GB2312"/>
          <w:b/>
          <w:bCs/>
          <w:color w:val="auto"/>
          <w:spacing w:val="0"/>
          <w:sz w:val="32"/>
          <w:szCs w:val="32"/>
          <w:highlight w:val="none"/>
          <w:shd w:val="clear" w:color="auto" w:fill="FFFFFF"/>
        </w:rPr>
        <w:t>十二</w:t>
      </w:r>
      <w:r>
        <w:rPr>
          <w:rFonts w:hint="eastAsia" w:ascii="仿宋_GB2312" w:hAnsi="Times New Roman" w:eastAsia="仿宋_GB2312"/>
          <w:b/>
          <w:bCs/>
          <w:color w:val="auto"/>
          <w:spacing w:val="0"/>
          <w:sz w:val="32"/>
          <w:szCs w:val="32"/>
          <w:highlight w:val="none"/>
          <w:shd w:val="clear" w:color="auto" w:fill="FFFFFF"/>
          <w:lang w:eastAsia="zh"/>
        </w:rPr>
        <w:t xml:space="preserve">条 </w:t>
      </w:r>
      <w:r>
        <w:rPr>
          <w:rFonts w:hint="eastAsia" w:ascii="仿宋_GB2312" w:hAnsi="Times New Roman" w:eastAsia="仿宋_GB2312"/>
          <w:b/>
          <w:bCs/>
          <w:color w:val="auto"/>
          <w:spacing w:val="0"/>
          <w:sz w:val="32"/>
          <w:szCs w:val="32"/>
          <w:highlight w:val="none"/>
          <w:shd w:val="clear" w:color="auto" w:fill="FFFFFF"/>
        </w:rPr>
        <w:t xml:space="preserve"> </w:t>
      </w:r>
      <w:r>
        <w:rPr>
          <w:rFonts w:hint="eastAsia" w:ascii="仿宋_GB2312" w:hAnsi="Times New Roman" w:eastAsia="仿宋_GB2312"/>
          <w:color w:val="auto"/>
          <w:spacing w:val="0"/>
          <w:sz w:val="32"/>
          <w:szCs w:val="32"/>
          <w:highlight w:val="none"/>
          <w:shd w:val="clear" w:color="auto" w:fill="FFFFFF"/>
        </w:rPr>
        <w:t>普通门诊统筹不予支付的范围包括：</w:t>
      </w:r>
      <w:r>
        <w:rPr>
          <w:rFonts w:hint="eastAsia" w:ascii="仿宋_GB2312" w:hAnsi="Times New Roman" w:eastAsia="仿宋_GB2312"/>
          <w:color w:val="auto"/>
          <w:spacing w:val="0"/>
          <w:sz w:val="32"/>
          <w:szCs w:val="32"/>
          <w:highlight w:val="none"/>
          <w:shd w:val="clear" w:color="auto" w:fill="FFFFFF"/>
          <w:lang w:val="en-US" w:eastAsia="zh-CN"/>
        </w:rPr>
        <w:t>非定点医疗机构发生的门诊医疗费用；</w:t>
      </w:r>
      <w:r>
        <w:rPr>
          <w:rFonts w:hint="eastAsia" w:ascii="仿宋_GB2312" w:hAnsi="Times New Roman" w:eastAsia="仿宋_GB2312"/>
          <w:color w:val="auto"/>
          <w:spacing w:val="0"/>
          <w:sz w:val="32"/>
          <w:szCs w:val="32"/>
          <w:highlight w:val="none"/>
          <w:shd w:val="clear" w:color="auto" w:fill="FFFFFF"/>
        </w:rPr>
        <w:t>已纳入住院结算的院前急救、抢救等医疗费用；住院期间发生的门诊医疗费用；健康体检类费用；国家和自治区规定的其他不符合基本医疗保险支付范围和支付标准的费用等。</w:t>
      </w:r>
    </w:p>
    <w:p>
      <w:pPr>
        <w:keepNext w:val="0"/>
        <w:keepLines w:val="0"/>
        <w:pageBreakBefore w:val="0"/>
        <w:widowControl w:val="0"/>
        <w:kinsoku/>
        <w:wordWrap/>
        <w:overflowPunct/>
        <w:topLinePunct w:val="0"/>
        <w:bidi w:val="0"/>
        <w:adjustRightInd w:val="0"/>
        <w:snapToGrid w:val="0"/>
        <w:spacing w:line="580" w:lineRule="atLeast"/>
        <w:ind w:right="0" w:rightChars="0" w:firstLine="642" w:firstLineChars="200"/>
        <w:textAlignment w:val="auto"/>
        <w:rPr>
          <w:rFonts w:hint="eastAsia" w:ascii="仿宋_GB2312" w:hAnsi="Times New Roman" w:eastAsia="仿宋_GB2312"/>
          <w:color w:val="auto"/>
          <w:spacing w:val="0"/>
          <w:sz w:val="32"/>
          <w:szCs w:val="32"/>
          <w:highlight w:val="none"/>
          <w:shd w:val="clear" w:color="auto" w:fill="FFFFFF"/>
        </w:rPr>
      </w:pPr>
      <w:r>
        <w:rPr>
          <w:rFonts w:hint="eastAsia" w:ascii="仿宋_GB2312" w:hAnsi="Times New Roman" w:eastAsia="仿宋_GB2312"/>
          <w:b/>
          <w:bCs/>
          <w:color w:val="auto"/>
          <w:spacing w:val="0"/>
          <w:sz w:val="32"/>
          <w:szCs w:val="32"/>
          <w:highlight w:val="none"/>
          <w:shd w:val="clear" w:color="auto" w:fill="FFFFFF"/>
        </w:rPr>
        <w:t xml:space="preserve">第十三条  </w:t>
      </w:r>
      <w:r>
        <w:rPr>
          <w:rFonts w:hint="eastAsia" w:ascii="仿宋_GB2312" w:hAnsi="Times New Roman" w:eastAsia="仿宋_GB2312"/>
          <w:color w:val="auto"/>
          <w:spacing w:val="0"/>
          <w:sz w:val="32"/>
          <w:szCs w:val="32"/>
          <w:highlight w:val="none"/>
        </w:rPr>
        <w:t>各分统筹地区积极探索付费机制，</w:t>
      </w:r>
      <w:r>
        <w:rPr>
          <w:rFonts w:hint="eastAsia" w:ascii="仿宋_GB2312" w:hAnsi="Times New Roman" w:eastAsia="仿宋_GB2312"/>
          <w:color w:val="auto"/>
          <w:spacing w:val="0"/>
          <w:sz w:val="32"/>
          <w:szCs w:val="32"/>
          <w:highlight w:val="none"/>
          <w:shd w:val="clear" w:color="auto" w:fill="FFFFFF"/>
        </w:rPr>
        <w:t>对基层门诊医疗服务可按人头包干付费；对</w:t>
      </w:r>
      <w:r>
        <w:rPr>
          <w:rFonts w:hint="eastAsia" w:ascii="仿宋_GB2312" w:hAnsi="Times New Roman" w:eastAsia="仿宋_GB2312"/>
          <w:color w:val="auto"/>
          <w:spacing w:val="0"/>
          <w:sz w:val="32"/>
          <w:szCs w:val="32"/>
          <w:highlight w:val="none"/>
        </w:rPr>
        <w:t>日间手术</w:t>
      </w:r>
      <w:r>
        <w:rPr>
          <w:rFonts w:hint="eastAsia" w:ascii="仿宋_GB2312" w:hAnsi="Times New Roman" w:eastAsia="仿宋_GB2312"/>
          <w:color w:val="auto"/>
          <w:spacing w:val="0"/>
          <w:sz w:val="32"/>
          <w:szCs w:val="32"/>
          <w:highlight w:val="none"/>
          <w:shd w:val="clear" w:color="auto" w:fill="FFFFFF"/>
        </w:rPr>
        <w:t>及符合条件的门诊特殊病种，推行按病种付费、探索DRG或DIP付费；对不宜打包付费的门诊费用，可按项目付费。科学合理确定门诊医保支付方式，引导医疗机构和患者</w:t>
      </w:r>
      <w:r>
        <w:rPr>
          <w:rFonts w:hint="eastAsia" w:ascii="仿宋_GB2312" w:hAnsi="Times New Roman" w:eastAsia="仿宋_GB2312"/>
          <w:color w:val="auto"/>
          <w:spacing w:val="0"/>
          <w:sz w:val="32"/>
          <w:szCs w:val="32"/>
          <w:highlight w:val="none"/>
          <w:shd w:val="clear" w:color="auto" w:fill="FFFFFF"/>
          <w:lang w:eastAsia="zh-CN"/>
        </w:rPr>
        <w:t>因病施治、合理检查、合理用药，</w:t>
      </w:r>
      <w:r>
        <w:rPr>
          <w:rFonts w:hint="eastAsia" w:ascii="仿宋_GB2312" w:hAnsi="Times New Roman" w:eastAsia="仿宋_GB2312"/>
          <w:color w:val="auto"/>
          <w:spacing w:val="0"/>
          <w:sz w:val="32"/>
          <w:szCs w:val="32"/>
          <w:highlight w:val="none"/>
          <w:shd w:val="clear" w:color="auto" w:fill="FFFFFF"/>
        </w:rPr>
        <w:t>主动使用疗效确切、价格合理的药品。</w:t>
      </w:r>
    </w:p>
    <w:p>
      <w:pPr>
        <w:pStyle w:val="7"/>
        <w:keepNext w:val="0"/>
        <w:keepLines w:val="0"/>
        <w:pageBreakBefore w:val="0"/>
        <w:widowControl w:val="0"/>
        <w:kinsoku/>
        <w:wordWrap/>
        <w:overflowPunct/>
        <w:topLinePunct w:val="0"/>
        <w:bidi w:val="0"/>
        <w:adjustRightInd w:val="0"/>
        <w:snapToGrid w:val="0"/>
        <w:spacing w:line="580" w:lineRule="atLeast"/>
        <w:ind w:right="0" w:rightChars="0" w:firstLine="760"/>
        <w:textAlignment w:val="auto"/>
        <w:rPr>
          <w:rFonts w:ascii="仿宋_GB2312" w:hAnsi="Times New Roman" w:eastAsia="仿宋_GB2312"/>
          <w:color w:val="auto"/>
          <w:spacing w:val="0"/>
          <w:sz w:val="32"/>
          <w:szCs w:val="32"/>
          <w:highlight w:val="none"/>
          <w:shd w:val="clear" w:color="auto" w:fill="FFFFFF"/>
        </w:rPr>
      </w:pPr>
    </w:p>
    <w:p>
      <w:pPr>
        <w:pStyle w:val="7"/>
        <w:keepNext w:val="0"/>
        <w:keepLines w:val="0"/>
        <w:pageBreakBefore w:val="0"/>
        <w:widowControl w:val="0"/>
        <w:kinsoku/>
        <w:wordWrap/>
        <w:overflowPunct/>
        <w:topLinePunct w:val="0"/>
        <w:bidi w:val="0"/>
        <w:adjustRightInd w:val="0"/>
        <w:snapToGrid w:val="0"/>
        <w:spacing w:line="580" w:lineRule="atLeast"/>
        <w:ind w:right="0" w:rightChars="0"/>
        <w:jc w:val="center"/>
        <w:textAlignment w:val="auto"/>
        <w:rPr>
          <w:rFonts w:ascii="黑体" w:hAnsi="黑体" w:eastAsia="黑体" w:cs="仿宋_GB2312"/>
          <w:b w:val="0"/>
          <w:color w:val="auto"/>
          <w:spacing w:val="0"/>
          <w:sz w:val="32"/>
          <w:szCs w:val="32"/>
          <w:highlight w:val="none"/>
        </w:rPr>
      </w:pPr>
      <w:r>
        <w:rPr>
          <w:rFonts w:ascii="黑体" w:hAnsi="黑体" w:eastAsia="黑体" w:cs="仿宋_GB2312"/>
          <w:b w:val="0"/>
          <w:bCs/>
          <w:color w:val="auto"/>
          <w:spacing w:val="0"/>
          <w:sz w:val="32"/>
          <w:szCs w:val="32"/>
          <w:highlight w:val="none"/>
        </w:rPr>
        <w:t>第四章 门诊慢特病保障</w:t>
      </w:r>
    </w:p>
    <w:p>
      <w:pPr>
        <w:pStyle w:val="7"/>
        <w:keepNext w:val="0"/>
        <w:keepLines w:val="0"/>
        <w:pageBreakBefore w:val="0"/>
        <w:widowControl w:val="0"/>
        <w:kinsoku/>
        <w:wordWrap/>
        <w:overflowPunct/>
        <w:topLinePunct w:val="0"/>
        <w:bidi w:val="0"/>
        <w:adjustRightInd w:val="0"/>
        <w:snapToGrid w:val="0"/>
        <w:spacing w:line="580" w:lineRule="atLeast"/>
        <w:ind w:right="0" w:rightChars="0" w:firstLine="642" w:firstLineChars="200"/>
        <w:jc w:val="both"/>
        <w:textAlignment w:val="auto"/>
        <w:rPr>
          <w:rFonts w:ascii="仿宋_GB2312" w:hAnsi="Times New Roman" w:eastAsia="仿宋_GB2312"/>
          <w:color w:val="auto"/>
          <w:spacing w:val="0"/>
          <w:sz w:val="32"/>
          <w:szCs w:val="32"/>
          <w:highlight w:val="none"/>
          <w:shd w:val="clear" w:color="auto" w:fill="FFFFFF"/>
        </w:rPr>
      </w:pPr>
      <w:r>
        <w:rPr>
          <w:rFonts w:ascii="仿宋_GB2312" w:hAnsi="Times New Roman" w:eastAsia="仿宋_GB2312"/>
          <w:b/>
          <w:bCs/>
          <w:color w:val="auto"/>
          <w:spacing w:val="0"/>
          <w:kern w:val="2"/>
          <w:sz w:val="32"/>
          <w:szCs w:val="32"/>
          <w:highlight w:val="none"/>
          <w:shd w:val="clear" w:color="auto" w:fill="FFFFFF"/>
        </w:rPr>
        <w:t xml:space="preserve">第十四条  </w:t>
      </w:r>
      <w:r>
        <w:rPr>
          <w:rFonts w:ascii="仿宋_GB2312" w:hAnsi="Times New Roman" w:eastAsia="仿宋_GB2312"/>
          <w:color w:val="auto"/>
          <w:spacing w:val="0"/>
          <w:kern w:val="2"/>
          <w:sz w:val="32"/>
          <w:szCs w:val="32"/>
          <w:highlight w:val="none"/>
          <w:shd w:val="clear" w:color="auto" w:fill="FFFFFF"/>
        </w:rPr>
        <w:t>本办法所称门诊慢特病保障，是指参保人员罹患</w:t>
      </w:r>
      <w:r>
        <w:rPr>
          <w:rFonts w:hint="eastAsia" w:ascii="仿宋_GB2312" w:hAnsi="Times New Roman" w:eastAsia="仿宋_GB2312"/>
          <w:color w:val="auto"/>
          <w:spacing w:val="0"/>
          <w:kern w:val="2"/>
          <w:sz w:val="32"/>
          <w:szCs w:val="32"/>
          <w:highlight w:val="none"/>
          <w:shd w:val="clear" w:color="auto" w:fill="FFFFFF"/>
          <w:lang w:val="en-US" w:eastAsia="zh-CN"/>
        </w:rPr>
        <w:t>纳入我区</w:t>
      </w:r>
      <w:r>
        <w:rPr>
          <w:rFonts w:ascii="仿宋_GB2312" w:hAnsi="Times New Roman" w:eastAsia="仿宋_GB2312"/>
          <w:color w:val="auto"/>
          <w:spacing w:val="0"/>
          <w:kern w:val="2"/>
          <w:sz w:val="32"/>
          <w:szCs w:val="32"/>
          <w:highlight w:val="none"/>
          <w:shd w:val="clear" w:color="auto" w:fill="FFFFFF"/>
        </w:rPr>
        <w:t>职工医保</w:t>
      </w:r>
      <w:r>
        <w:rPr>
          <w:rFonts w:hint="eastAsia" w:ascii="仿宋_GB2312" w:hAnsi="Times New Roman" w:eastAsia="仿宋_GB2312"/>
          <w:color w:val="auto"/>
          <w:spacing w:val="0"/>
          <w:kern w:val="2"/>
          <w:sz w:val="32"/>
          <w:szCs w:val="32"/>
          <w:highlight w:val="none"/>
          <w:shd w:val="clear" w:color="auto" w:fill="FFFFFF"/>
          <w:lang w:val="en-US" w:eastAsia="zh-CN"/>
        </w:rPr>
        <w:t>门诊慢特病种保障范围的疾病或疾病治疗方式</w:t>
      </w:r>
      <w:r>
        <w:rPr>
          <w:rFonts w:hint="eastAsia" w:ascii="仿宋_GB2312" w:hAnsi="Times New Roman" w:eastAsia="仿宋_GB2312"/>
          <w:color w:val="auto"/>
          <w:spacing w:val="0"/>
          <w:kern w:val="2"/>
          <w:sz w:val="32"/>
          <w:szCs w:val="32"/>
          <w:highlight w:val="none"/>
          <w:shd w:val="clear" w:color="auto" w:fill="FFFFFF"/>
          <w:lang w:eastAsia="zh-CN"/>
        </w:rPr>
        <w:t>，</w:t>
      </w:r>
      <w:r>
        <w:rPr>
          <w:rFonts w:ascii="仿宋_GB2312" w:hAnsi="Times New Roman" w:eastAsia="仿宋_GB2312"/>
          <w:color w:val="auto"/>
          <w:spacing w:val="0"/>
          <w:kern w:val="2"/>
          <w:sz w:val="32"/>
          <w:szCs w:val="32"/>
          <w:highlight w:val="none"/>
          <w:shd w:val="clear" w:color="auto" w:fill="FFFFFF"/>
        </w:rPr>
        <w:t>在一级（含社区卫生服务中心、社区卫生服务站、乡镇卫生院，下同）及以上定点</w:t>
      </w:r>
      <w:r>
        <w:rPr>
          <w:rFonts w:hint="eastAsia" w:ascii="仿宋_GB2312" w:hAnsi="Times New Roman" w:eastAsia="仿宋_GB2312"/>
          <w:color w:val="auto"/>
          <w:spacing w:val="0"/>
          <w:kern w:val="2"/>
          <w:sz w:val="32"/>
          <w:szCs w:val="32"/>
          <w:highlight w:val="none"/>
          <w:shd w:val="clear" w:color="auto" w:fill="FFFFFF"/>
          <w:lang w:eastAsia="zh-CN"/>
        </w:rPr>
        <w:t>医疗</w:t>
      </w:r>
      <w:r>
        <w:rPr>
          <w:rFonts w:ascii="仿宋_GB2312" w:hAnsi="Times New Roman" w:eastAsia="仿宋_GB2312"/>
          <w:color w:val="auto"/>
          <w:spacing w:val="0"/>
          <w:kern w:val="2"/>
          <w:sz w:val="32"/>
          <w:szCs w:val="32"/>
          <w:highlight w:val="none"/>
          <w:shd w:val="clear" w:color="auto" w:fill="FFFFFF"/>
        </w:rPr>
        <w:t>机构发生的基本医保政策范围内的门诊医疗费用，由统筹基金按规定保障标准予以支付的具体措施。</w:t>
      </w:r>
    </w:p>
    <w:p>
      <w:pPr>
        <w:pStyle w:val="7"/>
        <w:keepNext w:val="0"/>
        <w:keepLines w:val="0"/>
        <w:pageBreakBefore w:val="0"/>
        <w:widowControl w:val="0"/>
        <w:kinsoku/>
        <w:wordWrap/>
        <w:overflowPunct/>
        <w:topLinePunct w:val="0"/>
        <w:bidi w:val="0"/>
        <w:adjustRightInd w:val="0"/>
        <w:snapToGrid w:val="0"/>
        <w:spacing w:line="580" w:lineRule="atLeast"/>
        <w:ind w:right="0" w:rightChars="0" w:firstLine="642" w:firstLineChars="200"/>
        <w:jc w:val="both"/>
        <w:textAlignment w:val="auto"/>
        <w:rPr>
          <w:rFonts w:ascii="仿宋_GB2312" w:hAnsi="Times New Roman" w:eastAsia="仿宋_GB2312"/>
          <w:color w:val="auto"/>
          <w:spacing w:val="0"/>
          <w:sz w:val="32"/>
          <w:szCs w:val="32"/>
          <w:highlight w:val="none"/>
          <w:shd w:val="clear" w:color="auto" w:fill="FFFFFF"/>
        </w:rPr>
      </w:pPr>
      <w:r>
        <w:rPr>
          <w:rFonts w:ascii="仿宋_GB2312" w:hAnsi="Times New Roman" w:eastAsia="仿宋_GB2312"/>
          <w:b/>
          <w:bCs/>
          <w:color w:val="auto"/>
          <w:spacing w:val="0"/>
          <w:kern w:val="2"/>
          <w:sz w:val="32"/>
          <w:szCs w:val="32"/>
          <w:highlight w:val="none"/>
          <w:shd w:val="clear" w:color="auto" w:fill="FFFFFF"/>
        </w:rPr>
        <w:t xml:space="preserve">第十五条  </w:t>
      </w:r>
      <w:r>
        <w:rPr>
          <w:rFonts w:ascii="仿宋_GB2312" w:eastAsia="仿宋_GB2312"/>
          <w:color w:val="auto"/>
          <w:spacing w:val="0"/>
          <w:sz w:val="32"/>
          <w:szCs w:val="32"/>
          <w:highlight w:val="none"/>
          <w:shd w:val="clear" w:color="auto" w:fill="FFFFFF"/>
        </w:rPr>
        <w:t>门诊慢特病保障病种由自治区医疗保障部门会同自治区</w:t>
      </w:r>
      <w:r>
        <w:rPr>
          <w:rFonts w:hint="eastAsia" w:ascii="仿宋_GB2312" w:eastAsia="仿宋_GB2312"/>
          <w:color w:val="auto"/>
          <w:spacing w:val="0"/>
          <w:sz w:val="32"/>
          <w:szCs w:val="32"/>
          <w:highlight w:val="none"/>
          <w:shd w:val="clear" w:color="auto" w:fill="FFFFFF"/>
          <w:lang w:eastAsia="zh-CN"/>
        </w:rPr>
        <w:t>财政、卫健</w:t>
      </w:r>
      <w:r>
        <w:rPr>
          <w:rFonts w:ascii="仿宋_GB2312" w:eastAsia="仿宋_GB2312"/>
          <w:color w:val="auto"/>
          <w:spacing w:val="0"/>
          <w:sz w:val="32"/>
          <w:szCs w:val="32"/>
          <w:highlight w:val="none"/>
          <w:shd w:val="clear" w:color="auto" w:fill="FFFFFF"/>
        </w:rPr>
        <w:t>部门，结合医保基金运行实际，依据我区疾病谱特点，选择发病率高、病情相对稳定、诊疗方案明确、临床路径清晰、治疗效果明显、政策效益显著，且需在门诊长</w:t>
      </w:r>
      <w:r>
        <w:rPr>
          <w:rFonts w:ascii="仿宋_GB2312" w:hAnsi="Times New Roman" w:eastAsia="仿宋_GB2312"/>
          <w:color w:val="auto"/>
          <w:spacing w:val="0"/>
          <w:sz w:val="32"/>
          <w:szCs w:val="32"/>
          <w:highlight w:val="none"/>
          <w:shd w:val="clear" w:color="auto" w:fill="FFFFFF"/>
        </w:rPr>
        <w:t>期治疗的病种。门诊慢</w:t>
      </w:r>
      <w:r>
        <w:rPr>
          <w:rFonts w:ascii="仿宋_GB2312" w:eastAsia="仿宋_GB2312"/>
          <w:color w:val="auto"/>
          <w:spacing w:val="0"/>
          <w:sz w:val="32"/>
          <w:szCs w:val="32"/>
          <w:highlight w:val="none"/>
          <w:shd w:val="clear" w:color="auto" w:fill="FFFFFF"/>
        </w:rPr>
        <w:t>特</w:t>
      </w:r>
      <w:r>
        <w:rPr>
          <w:rFonts w:ascii="仿宋_GB2312" w:hAnsi="Times New Roman" w:eastAsia="仿宋_GB2312"/>
          <w:color w:val="auto"/>
          <w:spacing w:val="0"/>
          <w:sz w:val="32"/>
          <w:szCs w:val="32"/>
          <w:highlight w:val="none"/>
          <w:shd w:val="clear" w:color="auto" w:fill="FFFFFF"/>
        </w:rPr>
        <w:t>病病种名称、编码对应及资格认定标准等详见附件。</w:t>
      </w:r>
    </w:p>
    <w:p>
      <w:pPr>
        <w:keepNext w:val="0"/>
        <w:keepLines w:val="0"/>
        <w:pageBreakBefore w:val="0"/>
        <w:widowControl w:val="0"/>
        <w:kinsoku/>
        <w:wordWrap/>
        <w:overflowPunct/>
        <w:topLinePunct w:val="0"/>
        <w:bidi w:val="0"/>
        <w:adjustRightInd w:val="0"/>
        <w:snapToGrid w:val="0"/>
        <w:spacing w:line="580" w:lineRule="atLeast"/>
        <w:ind w:right="0" w:rightChars="0" w:firstLine="642" w:firstLineChars="200"/>
        <w:textAlignment w:val="auto"/>
        <w:rPr>
          <w:rFonts w:hint="eastAsia" w:ascii="仿宋_GB2312" w:hAnsi="Times New Roman" w:eastAsia="仿宋_GB2312"/>
          <w:color w:val="auto"/>
          <w:spacing w:val="0"/>
          <w:sz w:val="32"/>
          <w:szCs w:val="32"/>
          <w:highlight w:val="none"/>
          <w:shd w:val="clear" w:color="auto" w:fill="FFFFFF"/>
        </w:rPr>
      </w:pPr>
      <w:r>
        <w:rPr>
          <w:rFonts w:hint="eastAsia" w:ascii="仿宋_GB2312" w:hAnsi="Times New Roman" w:eastAsia="仿宋_GB2312"/>
          <w:b/>
          <w:bCs/>
          <w:color w:val="auto"/>
          <w:spacing w:val="0"/>
          <w:sz w:val="32"/>
          <w:szCs w:val="32"/>
          <w:highlight w:val="none"/>
          <w:shd w:val="clear" w:color="auto" w:fill="FFFFFF"/>
        </w:rPr>
        <w:t xml:space="preserve">第十六条  </w:t>
      </w:r>
      <w:r>
        <w:rPr>
          <w:rFonts w:hint="eastAsia" w:ascii="仿宋_GB2312" w:hAnsi="Times New Roman" w:eastAsia="仿宋_GB2312"/>
          <w:color w:val="auto"/>
          <w:spacing w:val="0"/>
          <w:sz w:val="32"/>
          <w:szCs w:val="32"/>
          <w:highlight w:val="none"/>
          <w:shd w:val="clear" w:color="auto" w:fill="FFFFFF"/>
          <w:lang w:val="en-US" w:eastAsia="zh-CN"/>
        </w:rPr>
        <w:t>各分统筹区</w:t>
      </w:r>
      <w:r>
        <w:rPr>
          <w:rFonts w:hint="eastAsia" w:ascii="仿宋_GB2312" w:hAnsi="Times New Roman" w:eastAsia="仿宋_GB2312"/>
          <w:color w:val="auto"/>
          <w:spacing w:val="0"/>
          <w:sz w:val="32"/>
          <w:szCs w:val="32"/>
          <w:highlight w:val="none"/>
          <w:shd w:val="clear" w:color="auto" w:fill="FFFFFF"/>
        </w:rPr>
        <w:t>医疗保障行政部门负责确定</w:t>
      </w:r>
      <w:r>
        <w:rPr>
          <w:rFonts w:hint="eastAsia" w:ascii="仿宋_GB2312" w:hAnsi="Times New Roman" w:eastAsia="仿宋_GB2312"/>
          <w:color w:val="auto"/>
          <w:spacing w:val="0"/>
          <w:sz w:val="32"/>
          <w:szCs w:val="32"/>
          <w:highlight w:val="none"/>
          <w:shd w:val="clear" w:color="auto" w:fill="FFFFFF"/>
          <w:lang w:val="en-US" w:eastAsia="zh-CN"/>
        </w:rPr>
        <w:t>所</w:t>
      </w:r>
      <w:r>
        <w:rPr>
          <w:rFonts w:hint="eastAsia" w:ascii="仿宋_GB2312" w:hAnsi="Times New Roman" w:eastAsia="仿宋_GB2312"/>
          <w:color w:val="auto"/>
          <w:spacing w:val="0"/>
          <w:sz w:val="32"/>
          <w:szCs w:val="32"/>
          <w:highlight w:val="none"/>
          <w:shd w:val="clear" w:color="auto" w:fill="FFFFFF"/>
        </w:rPr>
        <w:t>辖</w:t>
      </w:r>
      <w:r>
        <w:rPr>
          <w:rFonts w:hint="eastAsia" w:ascii="仿宋_GB2312" w:hAnsi="Times New Roman" w:eastAsia="仿宋_GB2312"/>
          <w:color w:val="auto"/>
          <w:spacing w:val="0"/>
          <w:sz w:val="32"/>
          <w:szCs w:val="32"/>
          <w:highlight w:val="none"/>
          <w:shd w:val="clear" w:color="auto" w:fill="FFFFFF"/>
          <w:lang w:val="en-US" w:eastAsia="zh-CN"/>
        </w:rPr>
        <w:t>市县（区）</w:t>
      </w:r>
      <w:r>
        <w:rPr>
          <w:rFonts w:hint="eastAsia" w:ascii="仿宋_GB2312" w:hAnsi="Times New Roman" w:eastAsia="仿宋_GB2312"/>
          <w:color w:val="auto"/>
          <w:spacing w:val="0"/>
          <w:sz w:val="32"/>
          <w:szCs w:val="32"/>
          <w:highlight w:val="none"/>
          <w:shd w:val="clear" w:color="auto" w:fill="FFFFFF"/>
        </w:rPr>
        <w:t>的门诊慢特病病种资格认定医院（以下简称认定医院），并向社会公布。认定医院全区互认。认定医院应主动为符合条件的参保人员认定门诊慢特病资格。参保人员到认定医院申请认定门诊慢特病待遇资格，经审批后享受相应保障待遇。</w:t>
      </w:r>
    </w:p>
    <w:p>
      <w:pPr>
        <w:keepNext w:val="0"/>
        <w:keepLines w:val="0"/>
        <w:pageBreakBefore w:val="0"/>
        <w:widowControl w:val="0"/>
        <w:kinsoku/>
        <w:wordWrap/>
        <w:overflowPunct/>
        <w:topLinePunct w:val="0"/>
        <w:bidi w:val="0"/>
        <w:adjustRightInd w:val="0"/>
        <w:snapToGrid w:val="0"/>
        <w:spacing w:line="580" w:lineRule="atLeast"/>
        <w:ind w:right="0" w:rightChars="0" w:firstLine="642" w:firstLineChars="200"/>
        <w:textAlignment w:val="auto"/>
        <w:rPr>
          <w:rFonts w:ascii="仿宋_GB2312" w:hAnsi="Times New Roman" w:eastAsia="仿宋_GB2312"/>
          <w:color w:val="auto"/>
          <w:spacing w:val="0"/>
          <w:sz w:val="32"/>
          <w:szCs w:val="32"/>
          <w:highlight w:val="none"/>
          <w:shd w:val="clear" w:color="auto" w:fill="FFFFFF"/>
        </w:rPr>
      </w:pPr>
      <w:r>
        <w:rPr>
          <w:rFonts w:hint="eastAsia" w:ascii="仿宋_GB2312" w:hAnsi="Times New Roman" w:eastAsia="仿宋_GB2312"/>
          <w:b/>
          <w:bCs/>
          <w:color w:val="auto"/>
          <w:spacing w:val="0"/>
          <w:sz w:val="32"/>
          <w:szCs w:val="32"/>
          <w:highlight w:val="none"/>
          <w:shd w:val="clear" w:color="auto" w:fill="FFFFFF"/>
        </w:rPr>
        <w:t xml:space="preserve">第十七条 </w:t>
      </w:r>
      <w:r>
        <w:rPr>
          <w:rFonts w:hint="eastAsia" w:ascii="仿宋_GB2312" w:hAnsi="Times New Roman" w:eastAsia="仿宋_GB2312"/>
          <w:b/>
          <w:bCs/>
          <w:color w:val="auto"/>
          <w:spacing w:val="0"/>
          <w:sz w:val="32"/>
          <w:szCs w:val="32"/>
          <w:highlight w:val="none"/>
          <w:shd w:val="clear" w:color="auto" w:fill="FFFFFF"/>
          <w:lang w:val="en-US" w:eastAsia="zh-CN"/>
        </w:rPr>
        <w:t xml:space="preserve"> </w:t>
      </w:r>
      <w:r>
        <w:rPr>
          <w:rFonts w:hint="eastAsia" w:ascii="仿宋_GB2312" w:hAnsi="Times New Roman" w:eastAsia="仿宋_GB2312"/>
          <w:color w:val="auto"/>
          <w:spacing w:val="0"/>
          <w:sz w:val="32"/>
          <w:szCs w:val="32"/>
          <w:highlight w:val="none"/>
          <w:shd w:val="clear" w:color="auto" w:fill="FFFFFF"/>
        </w:rPr>
        <w:t>一个自然年度内，参保人员在定点</w:t>
      </w:r>
      <w:r>
        <w:rPr>
          <w:rFonts w:hint="eastAsia" w:ascii="仿宋_GB2312" w:hAnsi="Times New Roman" w:eastAsia="仿宋_GB2312"/>
          <w:color w:val="auto"/>
          <w:spacing w:val="0"/>
          <w:sz w:val="32"/>
          <w:szCs w:val="32"/>
          <w:highlight w:val="none"/>
          <w:shd w:val="clear" w:color="auto" w:fill="FFFFFF"/>
          <w:lang w:eastAsia="zh-CN"/>
        </w:rPr>
        <w:t>医疗</w:t>
      </w:r>
      <w:r>
        <w:rPr>
          <w:rFonts w:hint="eastAsia" w:ascii="仿宋_GB2312" w:hAnsi="Times New Roman" w:eastAsia="仿宋_GB2312"/>
          <w:color w:val="auto"/>
          <w:spacing w:val="0"/>
          <w:sz w:val="32"/>
          <w:szCs w:val="32"/>
          <w:highlight w:val="none"/>
          <w:shd w:val="clear" w:color="auto" w:fill="FFFFFF"/>
        </w:rPr>
        <w:t>机构发生的医保政策范围内门诊慢特病医疗费用，</w:t>
      </w:r>
      <w:r>
        <w:rPr>
          <w:rFonts w:hint="eastAsia" w:ascii="仿宋_GB2312" w:hAnsi="Times New Roman" w:eastAsia="仿宋_GB2312"/>
          <w:color w:val="auto"/>
          <w:spacing w:val="0"/>
          <w:sz w:val="32"/>
          <w:szCs w:val="32"/>
          <w:highlight w:val="none"/>
          <w:shd w:val="clear" w:color="auto" w:fill="FFFFFF"/>
          <w:lang w:eastAsia="zh-CN"/>
        </w:rPr>
        <w:t>统筹基金年度</w:t>
      </w:r>
      <w:r>
        <w:rPr>
          <w:rFonts w:hint="eastAsia" w:ascii="仿宋_GB2312" w:hAnsi="Times New Roman" w:eastAsia="仿宋_GB2312"/>
          <w:color w:val="auto"/>
          <w:spacing w:val="0"/>
          <w:sz w:val="32"/>
          <w:szCs w:val="32"/>
          <w:highlight w:val="none"/>
          <w:shd w:val="clear" w:color="auto" w:fill="FFFFFF"/>
        </w:rPr>
        <w:t>起付标准以下的，由个人支付；</w:t>
      </w:r>
      <w:r>
        <w:rPr>
          <w:rFonts w:hint="eastAsia" w:ascii="仿宋_GB2312" w:hAnsi="Times New Roman" w:eastAsia="仿宋_GB2312"/>
          <w:color w:val="auto"/>
          <w:spacing w:val="0"/>
          <w:sz w:val="32"/>
          <w:szCs w:val="32"/>
          <w:highlight w:val="none"/>
          <w:shd w:val="clear" w:color="auto" w:fill="FFFFFF"/>
          <w:lang w:eastAsia="zh-CN"/>
        </w:rPr>
        <w:t>统筹基金年度</w:t>
      </w:r>
      <w:r>
        <w:rPr>
          <w:rFonts w:hint="eastAsia" w:ascii="仿宋_GB2312" w:hAnsi="Times New Roman" w:eastAsia="仿宋_GB2312"/>
          <w:color w:val="auto"/>
          <w:spacing w:val="0"/>
          <w:sz w:val="32"/>
          <w:szCs w:val="32"/>
          <w:highlight w:val="none"/>
          <w:shd w:val="clear" w:color="auto" w:fill="FFFFFF"/>
        </w:rPr>
        <w:t>起付标准以上、</w:t>
      </w:r>
      <w:r>
        <w:rPr>
          <w:rFonts w:hint="eastAsia" w:ascii="仿宋_GB2312" w:hAnsi="Times New Roman" w:eastAsia="仿宋_GB2312"/>
          <w:color w:val="auto"/>
          <w:spacing w:val="0"/>
          <w:sz w:val="32"/>
          <w:szCs w:val="32"/>
          <w:highlight w:val="none"/>
          <w:shd w:val="clear" w:color="auto" w:fill="FFFFFF"/>
          <w:lang w:eastAsia="zh-CN"/>
        </w:rPr>
        <w:t>统筹基金</w:t>
      </w:r>
      <w:r>
        <w:rPr>
          <w:rFonts w:hint="eastAsia" w:ascii="仿宋_GB2312" w:hAnsi="Times New Roman" w:eastAsia="仿宋_GB2312"/>
          <w:color w:val="auto"/>
          <w:spacing w:val="0"/>
          <w:sz w:val="32"/>
          <w:szCs w:val="32"/>
          <w:highlight w:val="none"/>
          <w:shd w:val="clear" w:color="auto" w:fill="FFFFFF"/>
        </w:rPr>
        <w:t>年度病种最高支付限额以下的，由统筹基金和参保人员按比例承担。</w:t>
      </w:r>
      <w:r>
        <w:rPr>
          <w:rFonts w:hint="eastAsia" w:ascii="仿宋_GB2312" w:hAnsi="Times New Roman" w:eastAsia="仿宋_GB2312"/>
          <w:color w:val="auto"/>
          <w:spacing w:val="0"/>
          <w:sz w:val="32"/>
          <w:szCs w:val="32"/>
          <w:highlight w:val="none"/>
          <w:shd w:val="clear" w:color="auto" w:fill="FFFFFF"/>
          <w:lang w:eastAsia="zh-CN"/>
        </w:rPr>
        <w:t>统筹基金年度</w:t>
      </w:r>
      <w:r>
        <w:rPr>
          <w:rFonts w:hint="eastAsia" w:ascii="仿宋_GB2312" w:hAnsi="Times New Roman" w:eastAsia="仿宋_GB2312"/>
          <w:color w:val="auto"/>
          <w:spacing w:val="0"/>
          <w:sz w:val="32"/>
          <w:szCs w:val="32"/>
          <w:highlight w:val="none"/>
          <w:shd w:val="clear" w:color="auto" w:fill="FFFFFF"/>
        </w:rPr>
        <w:t>起付标准为500元，与普通门诊</w:t>
      </w:r>
      <w:r>
        <w:rPr>
          <w:rFonts w:hint="eastAsia" w:ascii="仿宋_GB2312" w:hAnsi="Times New Roman" w:eastAsia="仿宋_GB2312"/>
          <w:color w:val="auto"/>
          <w:spacing w:val="0"/>
          <w:sz w:val="32"/>
          <w:szCs w:val="32"/>
          <w:highlight w:val="none"/>
          <w:shd w:val="clear" w:color="auto" w:fill="FFFFFF"/>
          <w:lang w:eastAsia="zh-CN"/>
        </w:rPr>
        <w:t>统筹基金</w:t>
      </w:r>
      <w:r>
        <w:rPr>
          <w:rFonts w:hint="eastAsia" w:ascii="仿宋_GB2312" w:hAnsi="Times New Roman" w:eastAsia="仿宋_GB2312"/>
          <w:color w:val="auto"/>
          <w:spacing w:val="0"/>
          <w:sz w:val="32"/>
          <w:szCs w:val="32"/>
          <w:highlight w:val="none"/>
          <w:shd w:val="clear" w:color="auto" w:fill="FFFFFF"/>
        </w:rPr>
        <w:t>年度起付标准合并计算；报销比例为75%；统筹基金年度最高支付限额按病种分别确定（详见附件）。</w:t>
      </w:r>
    </w:p>
    <w:p>
      <w:pPr>
        <w:keepNext w:val="0"/>
        <w:keepLines w:val="0"/>
        <w:pageBreakBefore w:val="0"/>
        <w:widowControl w:val="0"/>
        <w:kinsoku/>
        <w:wordWrap/>
        <w:overflowPunct/>
        <w:topLinePunct w:val="0"/>
        <w:bidi w:val="0"/>
        <w:adjustRightInd w:val="0"/>
        <w:snapToGrid w:val="0"/>
        <w:spacing w:line="580" w:lineRule="atLeast"/>
        <w:ind w:right="0" w:rightChars="0" w:firstLine="642" w:firstLineChars="200"/>
        <w:textAlignment w:val="auto"/>
        <w:rPr>
          <w:rFonts w:hint="eastAsia" w:ascii="仿宋_GB2312" w:hAnsi="Times New Roman" w:eastAsia="仿宋_GB2312"/>
          <w:color w:val="auto"/>
          <w:spacing w:val="0"/>
          <w:sz w:val="32"/>
          <w:szCs w:val="32"/>
          <w:highlight w:val="none"/>
          <w:shd w:val="clear" w:color="auto" w:fill="FFFFFF"/>
        </w:rPr>
      </w:pPr>
      <w:r>
        <w:rPr>
          <w:rFonts w:hint="eastAsia" w:ascii="仿宋_GB2312" w:hAnsi="Times New Roman" w:eastAsia="仿宋_GB2312"/>
          <w:b/>
          <w:bCs/>
          <w:color w:val="auto"/>
          <w:spacing w:val="0"/>
          <w:sz w:val="32"/>
          <w:szCs w:val="32"/>
          <w:highlight w:val="none"/>
          <w:shd w:val="clear" w:color="auto" w:fill="FFFFFF"/>
        </w:rPr>
        <w:t xml:space="preserve">第十八条  </w:t>
      </w:r>
      <w:r>
        <w:rPr>
          <w:rFonts w:hint="eastAsia" w:ascii="仿宋_GB2312" w:hAnsi="Times New Roman" w:eastAsia="仿宋_GB2312"/>
          <w:color w:val="auto"/>
          <w:spacing w:val="0"/>
          <w:sz w:val="32"/>
          <w:szCs w:val="32"/>
          <w:highlight w:val="none"/>
          <w:shd w:val="clear" w:color="auto" w:fill="FFFFFF"/>
        </w:rPr>
        <w:t>参保人员大额医疗补助阶段的</w:t>
      </w:r>
      <w:r>
        <w:rPr>
          <w:rFonts w:hint="eastAsia" w:ascii="仿宋_GB2312" w:hAnsi="Times New Roman" w:eastAsia="仿宋_GB2312"/>
          <w:color w:val="auto"/>
          <w:spacing w:val="0"/>
          <w:sz w:val="32"/>
          <w:szCs w:val="32"/>
          <w:highlight w:val="none"/>
          <w:shd w:val="clear" w:color="auto" w:fill="FFFFFF"/>
          <w:lang w:eastAsia="zh-CN"/>
        </w:rPr>
        <w:t>费用</w:t>
      </w:r>
      <w:r>
        <w:rPr>
          <w:rFonts w:hint="eastAsia" w:ascii="仿宋_GB2312" w:hAnsi="Times New Roman" w:eastAsia="仿宋_GB2312"/>
          <w:color w:val="auto"/>
          <w:spacing w:val="0"/>
          <w:sz w:val="32"/>
          <w:szCs w:val="32"/>
          <w:highlight w:val="none"/>
          <w:shd w:val="clear" w:color="auto" w:fill="FFFFFF"/>
        </w:rPr>
        <w:t>报销，不执行乙类药品先行自付、药品支付标准和医用耗材超限价费用扣除等政策。</w:t>
      </w:r>
    </w:p>
    <w:p>
      <w:pPr>
        <w:keepNext w:val="0"/>
        <w:keepLines w:val="0"/>
        <w:pageBreakBefore w:val="0"/>
        <w:widowControl w:val="0"/>
        <w:kinsoku/>
        <w:wordWrap/>
        <w:overflowPunct/>
        <w:topLinePunct w:val="0"/>
        <w:bidi w:val="0"/>
        <w:adjustRightInd w:val="0"/>
        <w:snapToGrid w:val="0"/>
        <w:spacing w:line="580" w:lineRule="atLeast"/>
        <w:ind w:right="0" w:rightChars="0" w:firstLine="642" w:firstLineChars="200"/>
        <w:textAlignment w:val="auto"/>
        <w:rPr>
          <w:rFonts w:hint="eastAsia" w:ascii="仿宋_GB2312" w:hAnsi="仿宋_GB2312" w:eastAsia="仿宋_GB2312" w:cs="仿宋_GB2312"/>
          <w:color w:val="auto"/>
          <w:spacing w:val="0"/>
          <w:sz w:val="32"/>
          <w:szCs w:val="32"/>
          <w:highlight w:val="none"/>
        </w:rPr>
      </w:pPr>
      <w:r>
        <w:rPr>
          <w:rFonts w:hint="eastAsia" w:ascii="仿宋_GB2312" w:hAnsi="Times New Roman" w:eastAsia="仿宋_GB2312"/>
          <w:b/>
          <w:bCs/>
          <w:color w:val="auto"/>
          <w:spacing w:val="0"/>
          <w:sz w:val="32"/>
          <w:szCs w:val="32"/>
          <w:highlight w:val="none"/>
          <w:shd w:val="clear" w:color="auto" w:fill="FFFFFF"/>
        </w:rPr>
        <w:t xml:space="preserve">第十九条  </w:t>
      </w:r>
      <w:r>
        <w:rPr>
          <w:rFonts w:hint="eastAsia" w:ascii="仿宋_GB2312" w:hAnsi="仿宋_GB2312" w:eastAsia="仿宋_GB2312" w:cs="仿宋_GB2312"/>
          <w:color w:val="auto"/>
          <w:spacing w:val="0"/>
          <w:sz w:val="32"/>
          <w:szCs w:val="32"/>
          <w:highlight w:val="none"/>
        </w:rPr>
        <w:t>参保人员罹患多种门诊慢特病的，按照病种最高支付限额由高到低排序，从第三个（包括本数）病种开始，</w:t>
      </w:r>
      <w:r>
        <w:rPr>
          <w:rFonts w:hint="eastAsia" w:ascii="仿宋_GB2312" w:hAnsi="仿宋_GB2312" w:eastAsia="仿宋_GB2312" w:cs="仿宋_GB2312"/>
          <w:color w:val="auto"/>
          <w:spacing w:val="0"/>
          <w:sz w:val="32"/>
          <w:szCs w:val="32"/>
          <w:highlight w:val="none"/>
          <w:lang w:eastAsia="zh-CN"/>
        </w:rPr>
        <w:t>按病种</w:t>
      </w:r>
      <w:r>
        <w:rPr>
          <w:rFonts w:hint="eastAsia" w:ascii="仿宋_GB2312" w:hAnsi="仿宋_GB2312" w:eastAsia="仿宋_GB2312" w:cs="仿宋_GB2312"/>
          <w:color w:val="auto"/>
          <w:spacing w:val="0"/>
          <w:sz w:val="32"/>
          <w:szCs w:val="32"/>
          <w:highlight w:val="none"/>
        </w:rPr>
        <w:t>年度限额</w:t>
      </w:r>
      <w:r>
        <w:rPr>
          <w:rFonts w:hint="eastAsia" w:ascii="仿宋_GB2312" w:hAnsi="仿宋_GB2312" w:eastAsia="仿宋_GB2312" w:cs="仿宋_GB2312"/>
          <w:color w:val="auto"/>
          <w:spacing w:val="0"/>
          <w:sz w:val="32"/>
          <w:szCs w:val="32"/>
          <w:highlight w:val="none"/>
          <w:lang w:eastAsia="zh-CN"/>
        </w:rPr>
        <w:t>的</w:t>
      </w:r>
      <w:r>
        <w:rPr>
          <w:rFonts w:hint="eastAsia" w:ascii="仿宋_GB2312" w:hAnsi="仿宋_GB2312" w:eastAsia="仿宋_GB2312" w:cs="仿宋_GB2312"/>
          <w:color w:val="auto"/>
          <w:spacing w:val="0"/>
          <w:sz w:val="32"/>
          <w:szCs w:val="32"/>
          <w:highlight w:val="none"/>
          <w:lang w:val="en-US" w:eastAsia="zh-CN"/>
        </w:rPr>
        <w:t>80%</w:t>
      </w:r>
      <w:r>
        <w:rPr>
          <w:rFonts w:hint="eastAsia" w:ascii="仿宋_GB2312" w:hAnsi="仿宋_GB2312" w:eastAsia="仿宋_GB2312" w:cs="仿宋_GB2312"/>
          <w:color w:val="auto"/>
          <w:spacing w:val="0"/>
          <w:sz w:val="32"/>
          <w:szCs w:val="32"/>
          <w:highlight w:val="none"/>
          <w:lang w:eastAsia="zh-CN"/>
        </w:rPr>
        <w:t>累计</w:t>
      </w:r>
      <w:r>
        <w:rPr>
          <w:rFonts w:hint="eastAsia" w:ascii="仿宋_GB2312" w:hAnsi="仿宋_GB2312" w:eastAsia="仿宋_GB2312" w:cs="仿宋_GB2312"/>
          <w:color w:val="auto"/>
          <w:spacing w:val="0"/>
          <w:sz w:val="32"/>
          <w:szCs w:val="32"/>
          <w:highlight w:val="none"/>
        </w:rPr>
        <w:t>，</w:t>
      </w:r>
      <w:r>
        <w:rPr>
          <w:rFonts w:hint="eastAsia" w:ascii="仿宋_GB2312" w:hAnsi="仿宋_GB2312" w:eastAsia="仿宋_GB2312" w:cs="仿宋_GB2312"/>
          <w:color w:val="auto"/>
          <w:spacing w:val="0"/>
          <w:sz w:val="32"/>
          <w:szCs w:val="32"/>
          <w:highlight w:val="none"/>
          <w:lang w:eastAsia="zh-CN"/>
        </w:rPr>
        <w:t>具体</w:t>
      </w:r>
      <w:r>
        <w:rPr>
          <w:rFonts w:hint="eastAsia" w:ascii="仿宋_GB2312" w:hAnsi="仿宋_GB2312" w:eastAsia="仿宋_GB2312" w:cs="仿宋_GB2312"/>
          <w:color w:val="auto"/>
          <w:spacing w:val="0"/>
          <w:sz w:val="32"/>
          <w:szCs w:val="32"/>
          <w:highlight w:val="none"/>
        </w:rPr>
        <w:t>按以下公式计算本人年度累计最高支付限额：第一种病种最高支付限额+第二种病种最高支付限额+第三种病种最高支付限额</w:t>
      </w:r>
      <w:r>
        <w:rPr>
          <w:rFonts w:hint="eastAsia" w:ascii="汉仪细圆B5" w:hAnsi="汉仪细圆B5" w:eastAsia="汉仪细圆B5" w:cs="汉仪细圆B5"/>
          <w:color w:val="auto"/>
          <w:spacing w:val="0"/>
          <w:sz w:val="32"/>
          <w:szCs w:val="32"/>
          <w:highlight w:val="none"/>
        </w:rPr>
        <w:t>×</w:t>
      </w:r>
      <w:r>
        <w:rPr>
          <w:rFonts w:hint="eastAsia" w:ascii="仿宋_GB2312" w:hAnsi="仿宋_GB2312" w:eastAsia="仿宋_GB2312" w:cs="仿宋_GB2312"/>
          <w:color w:val="auto"/>
          <w:spacing w:val="0"/>
          <w:sz w:val="32"/>
          <w:szCs w:val="32"/>
          <w:highlight w:val="none"/>
        </w:rPr>
        <w:t>80%+</w:t>
      </w:r>
      <w:r>
        <w:rPr>
          <w:rFonts w:ascii="Arial" w:hAnsi="Arial" w:eastAsia="仿宋_GB2312" w:cs="Arial"/>
          <w:color w:val="auto"/>
          <w:spacing w:val="0"/>
          <w:sz w:val="32"/>
          <w:szCs w:val="32"/>
          <w:highlight w:val="none"/>
        </w:rPr>
        <w:t>…</w:t>
      </w:r>
      <w:r>
        <w:rPr>
          <w:rFonts w:hint="eastAsia" w:ascii="仿宋_GB2312" w:hAnsi="仿宋_GB2312" w:eastAsia="仿宋_GB2312" w:cs="仿宋_GB2312"/>
          <w:color w:val="auto"/>
          <w:spacing w:val="0"/>
          <w:sz w:val="32"/>
          <w:szCs w:val="32"/>
          <w:highlight w:val="none"/>
        </w:rPr>
        <w:t>第</w:t>
      </w:r>
      <w:r>
        <w:rPr>
          <w:rFonts w:ascii="仿宋_GB2312" w:hAnsi="仿宋_GB2312" w:eastAsia="仿宋_GB2312" w:cs="仿宋_GB2312"/>
          <w:color w:val="auto"/>
          <w:spacing w:val="0"/>
          <w:sz w:val="32"/>
          <w:szCs w:val="32"/>
          <w:highlight w:val="none"/>
        </w:rPr>
        <w:t>N</w:t>
      </w:r>
      <w:r>
        <w:rPr>
          <w:rFonts w:hint="eastAsia" w:ascii="仿宋_GB2312" w:hAnsi="仿宋_GB2312" w:eastAsia="仿宋_GB2312" w:cs="仿宋_GB2312"/>
          <w:color w:val="auto"/>
          <w:spacing w:val="0"/>
          <w:sz w:val="32"/>
          <w:szCs w:val="32"/>
          <w:highlight w:val="none"/>
        </w:rPr>
        <w:t>种疾病最高支付限额</w:t>
      </w:r>
      <w:r>
        <w:rPr>
          <w:rFonts w:hint="eastAsia" w:ascii="汉仪细圆B5" w:hAnsi="汉仪细圆B5" w:eastAsia="汉仪细圆B5" w:cs="汉仪细圆B5"/>
          <w:color w:val="auto"/>
          <w:spacing w:val="0"/>
          <w:sz w:val="32"/>
          <w:szCs w:val="32"/>
          <w:highlight w:val="none"/>
        </w:rPr>
        <w:t>×</w:t>
      </w:r>
      <w:r>
        <w:rPr>
          <w:rFonts w:hint="eastAsia" w:ascii="仿宋_GB2312" w:hAnsi="仿宋_GB2312" w:eastAsia="仿宋_GB2312" w:cs="仿宋_GB2312"/>
          <w:color w:val="auto"/>
          <w:spacing w:val="0"/>
          <w:sz w:val="32"/>
          <w:szCs w:val="32"/>
          <w:highlight w:val="none"/>
        </w:rPr>
        <w:t>80%。</w:t>
      </w:r>
    </w:p>
    <w:p>
      <w:pPr>
        <w:keepNext w:val="0"/>
        <w:keepLines w:val="0"/>
        <w:pageBreakBefore w:val="0"/>
        <w:widowControl w:val="0"/>
        <w:kinsoku/>
        <w:wordWrap/>
        <w:overflowPunct/>
        <w:topLinePunct w:val="0"/>
        <w:bidi w:val="0"/>
        <w:adjustRightInd w:val="0"/>
        <w:snapToGrid w:val="0"/>
        <w:spacing w:line="580" w:lineRule="atLeast"/>
        <w:ind w:right="0" w:rightChars="0" w:firstLine="642" w:firstLineChars="200"/>
        <w:textAlignment w:val="auto"/>
        <w:rPr>
          <w:rFonts w:hint="eastAsia" w:ascii="仿宋_GB2312" w:hAnsi="Times New Roman" w:eastAsia="仿宋_GB2312"/>
          <w:color w:val="auto"/>
          <w:spacing w:val="0"/>
          <w:sz w:val="32"/>
          <w:szCs w:val="32"/>
          <w:highlight w:val="none"/>
          <w:shd w:val="clear" w:color="auto" w:fill="FFFFFF"/>
        </w:rPr>
      </w:pPr>
      <w:r>
        <w:rPr>
          <w:rFonts w:hint="eastAsia" w:ascii="仿宋_GB2312" w:hAnsi="Times New Roman" w:eastAsia="仿宋_GB2312"/>
          <w:b/>
          <w:bCs/>
          <w:color w:val="auto"/>
          <w:spacing w:val="0"/>
          <w:sz w:val="32"/>
          <w:szCs w:val="32"/>
          <w:highlight w:val="none"/>
          <w:shd w:val="clear" w:color="auto" w:fill="FFFFFF"/>
        </w:rPr>
        <w:t xml:space="preserve">第二十条  </w:t>
      </w:r>
      <w:r>
        <w:rPr>
          <w:rFonts w:hint="eastAsia" w:ascii="仿宋_GB2312" w:hAnsi="Times New Roman" w:eastAsia="仿宋_GB2312"/>
          <w:color w:val="auto"/>
          <w:spacing w:val="0"/>
          <w:sz w:val="32"/>
          <w:szCs w:val="32"/>
          <w:highlight w:val="none"/>
          <w:shd w:val="clear" w:color="auto" w:fill="FFFFFF"/>
        </w:rPr>
        <w:t>确因治疗需要调整门诊慢特病最高支付限额的，参保人员可向区内二级甲等及以上医疗机构提出申请，办理异地就医备案的人员可向区内二级甲等及以上医疗机构或参保地医保经办机构提出申请，经参保地医保经办机构审核后可适当调整限额。</w:t>
      </w:r>
    </w:p>
    <w:p>
      <w:pPr>
        <w:pStyle w:val="7"/>
        <w:keepNext w:val="0"/>
        <w:keepLines w:val="0"/>
        <w:pageBreakBefore w:val="0"/>
        <w:widowControl w:val="0"/>
        <w:kinsoku/>
        <w:wordWrap/>
        <w:overflowPunct/>
        <w:topLinePunct w:val="0"/>
        <w:bidi w:val="0"/>
        <w:adjustRightInd w:val="0"/>
        <w:snapToGrid w:val="0"/>
        <w:spacing w:line="580" w:lineRule="atLeast"/>
        <w:ind w:right="0" w:rightChars="0" w:firstLine="642" w:firstLineChars="200"/>
        <w:textAlignment w:val="auto"/>
        <w:rPr>
          <w:rFonts w:ascii="仿宋_GB2312" w:eastAsia="仿宋_GB2312"/>
          <w:color w:val="auto"/>
          <w:spacing w:val="0"/>
          <w:sz w:val="32"/>
          <w:szCs w:val="32"/>
          <w:highlight w:val="none"/>
          <w:shd w:val="clear" w:color="auto" w:fill="FFFFFF"/>
        </w:rPr>
      </w:pPr>
      <w:r>
        <w:rPr>
          <w:rFonts w:ascii="仿宋_GB2312" w:eastAsia="仿宋_GB2312"/>
          <w:b/>
          <w:bCs/>
          <w:color w:val="auto"/>
          <w:spacing w:val="0"/>
          <w:sz w:val="32"/>
          <w:szCs w:val="32"/>
          <w:highlight w:val="none"/>
          <w:shd w:val="clear" w:color="auto" w:fill="FFFFFF"/>
        </w:rPr>
        <w:t>第二十一条</w:t>
      </w:r>
      <w:r>
        <w:rPr>
          <w:rFonts w:hint="eastAsia" w:ascii="仿宋_GB2312" w:eastAsia="仿宋_GB2312"/>
          <w:b/>
          <w:bCs/>
          <w:color w:val="auto"/>
          <w:spacing w:val="0"/>
          <w:sz w:val="32"/>
          <w:szCs w:val="32"/>
          <w:highlight w:val="none"/>
          <w:shd w:val="clear" w:color="auto" w:fill="FFFFFF"/>
          <w:lang w:val="en-US" w:eastAsia="zh-CN"/>
        </w:rPr>
        <w:t xml:space="preserve"> </w:t>
      </w:r>
      <w:r>
        <w:rPr>
          <w:rFonts w:ascii="仿宋_GB2312" w:eastAsia="仿宋_GB2312"/>
          <w:b/>
          <w:bCs/>
          <w:color w:val="auto"/>
          <w:spacing w:val="0"/>
          <w:sz w:val="32"/>
          <w:szCs w:val="32"/>
          <w:highlight w:val="none"/>
          <w:shd w:val="clear" w:color="auto" w:fill="FFFFFF"/>
        </w:rPr>
        <w:t xml:space="preserve"> </w:t>
      </w:r>
      <w:r>
        <w:rPr>
          <w:rFonts w:ascii="仿宋_GB2312" w:eastAsia="仿宋_GB2312"/>
          <w:color w:val="auto"/>
          <w:spacing w:val="0"/>
          <w:sz w:val="32"/>
          <w:szCs w:val="32"/>
          <w:highlight w:val="none"/>
          <w:shd w:val="clear" w:color="auto" w:fill="FFFFFF"/>
        </w:rPr>
        <w:t>门诊慢特病不予支付范围包括：住院期间发生的门诊慢特病医疗费用；国家和自治区规定的其他不符合基本医疗保险支付范围和支付标准的费用。</w:t>
      </w:r>
    </w:p>
    <w:p>
      <w:pPr>
        <w:pStyle w:val="7"/>
        <w:keepNext w:val="0"/>
        <w:keepLines w:val="0"/>
        <w:pageBreakBefore w:val="0"/>
        <w:widowControl w:val="0"/>
        <w:kinsoku/>
        <w:wordWrap/>
        <w:overflowPunct/>
        <w:topLinePunct w:val="0"/>
        <w:bidi w:val="0"/>
        <w:adjustRightInd w:val="0"/>
        <w:snapToGrid w:val="0"/>
        <w:spacing w:line="580" w:lineRule="atLeast"/>
        <w:ind w:right="0" w:rightChars="0" w:firstLine="640" w:firstLineChars="200"/>
        <w:textAlignment w:val="auto"/>
        <w:rPr>
          <w:rFonts w:ascii="仿宋_GB2312" w:eastAsia="仿宋_GB2312"/>
          <w:color w:val="auto"/>
          <w:spacing w:val="0"/>
          <w:sz w:val="32"/>
          <w:szCs w:val="32"/>
          <w:highlight w:val="none"/>
          <w:shd w:val="clear" w:color="auto" w:fill="FFFFFF"/>
        </w:rPr>
      </w:pPr>
    </w:p>
    <w:p>
      <w:pPr>
        <w:keepNext w:val="0"/>
        <w:keepLines w:val="0"/>
        <w:pageBreakBefore w:val="0"/>
        <w:widowControl w:val="0"/>
        <w:kinsoku/>
        <w:wordWrap/>
        <w:overflowPunct/>
        <w:topLinePunct w:val="0"/>
        <w:bidi w:val="0"/>
        <w:adjustRightInd w:val="0"/>
        <w:snapToGrid w:val="0"/>
        <w:spacing w:line="580" w:lineRule="atLeast"/>
        <w:ind w:right="0" w:rightChars="0" w:firstLine="0" w:firstLineChars="0"/>
        <w:jc w:val="center"/>
        <w:textAlignment w:val="auto"/>
        <w:rPr>
          <w:rFonts w:ascii="黑体" w:hAnsi="黑体" w:eastAsia="黑体" w:cs="仿宋_GB2312"/>
          <w:b w:val="0"/>
          <w:color w:val="auto"/>
          <w:spacing w:val="0"/>
          <w:kern w:val="2"/>
          <w:sz w:val="32"/>
          <w:szCs w:val="32"/>
          <w:highlight w:val="none"/>
          <w:lang w:val="en-US" w:eastAsia="zh-CN" w:bidi="ar-SA"/>
        </w:rPr>
      </w:pPr>
      <w:r>
        <w:rPr>
          <w:rFonts w:hint="eastAsia" w:ascii="黑体" w:hAnsi="黑体" w:eastAsia="黑体" w:cs="仿宋_GB2312"/>
          <w:b w:val="0"/>
          <w:bCs/>
          <w:color w:val="auto"/>
          <w:spacing w:val="0"/>
          <w:kern w:val="2"/>
          <w:sz w:val="32"/>
          <w:szCs w:val="32"/>
          <w:highlight w:val="none"/>
          <w:lang w:val="en-US" w:eastAsia="zh-CN" w:bidi="ar-SA"/>
        </w:rPr>
        <w:t>第五章 就医与</w:t>
      </w:r>
      <w:r>
        <w:rPr>
          <w:rFonts w:ascii="黑体" w:hAnsi="黑体" w:eastAsia="黑体" w:cs="仿宋_GB2312"/>
          <w:b w:val="0"/>
          <w:bCs/>
          <w:color w:val="auto"/>
          <w:spacing w:val="0"/>
          <w:kern w:val="2"/>
          <w:sz w:val="32"/>
          <w:szCs w:val="32"/>
          <w:highlight w:val="none"/>
          <w:lang w:val="en-US" w:eastAsia="zh-CN" w:bidi="ar-SA"/>
        </w:rPr>
        <w:t>服务管理</w:t>
      </w:r>
    </w:p>
    <w:p>
      <w:pPr>
        <w:pStyle w:val="7"/>
        <w:keepNext w:val="0"/>
        <w:keepLines w:val="0"/>
        <w:pageBreakBefore w:val="0"/>
        <w:widowControl w:val="0"/>
        <w:kinsoku/>
        <w:wordWrap/>
        <w:overflowPunct/>
        <w:topLinePunct w:val="0"/>
        <w:bidi w:val="0"/>
        <w:adjustRightInd w:val="0"/>
        <w:snapToGrid w:val="0"/>
        <w:spacing w:line="580" w:lineRule="atLeast"/>
        <w:ind w:right="0" w:rightChars="0" w:firstLine="642" w:firstLineChars="200"/>
        <w:textAlignment w:val="auto"/>
        <w:rPr>
          <w:rFonts w:hint="default" w:ascii="仿宋_GB2312" w:eastAsia="仿宋_GB2312"/>
          <w:color w:val="auto"/>
          <w:spacing w:val="0"/>
          <w:sz w:val="32"/>
          <w:szCs w:val="32"/>
          <w:highlight w:val="none"/>
          <w:shd w:val="clear" w:color="auto" w:fill="FFFFFF"/>
          <w:lang w:val="en-US" w:eastAsia="zh-CN"/>
        </w:rPr>
      </w:pPr>
      <w:r>
        <w:rPr>
          <w:rFonts w:ascii="仿宋_GB2312" w:eastAsia="仿宋_GB2312"/>
          <w:b/>
          <w:bCs/>
          <w:color w:val="auto"/>
          <w:spacing w:val="0"/>
          <w:sz w:val="32"/>
          <w:szCs w:val="32"/>
          <w:highlight w:val="none"/>
          <w:shd w:val="clear" w:color="auto" w:fill="FFFFFF"/>
        </w:rPr>
        <w:t xml:space="preserve">第二十二条  </w:t>
      </w:r>
      <w:r>
        <w:rPr>
          <w:rFonts w:ascii="仿宋_GB2312" w:eastAsia="仿宋_GB2312"/>
          <w:color w:val="auto"/>
          <w:spacing w:val="0"/>
          <w:sz w:val="32"/>
          <w:szCs w:val="32"/>
          <w:highlight w:val="none"/>
          <w:shd w:val="clear" w:color="auto" w:fill="FFFFFF"/>
        </w:rPr>
        <w:t>定点医疗机构要严格执行首诊负责制和因病施治原则，坚持以病人为中心，规范诊疗，合理检查，合理治疗，合理用药，合理收费。要优先选用国家基本药物，优先选用医保药品目录内的甲类药品，优先选用通过仿制药质量和疗效一致性评价的药品，优先选用集中带量采购中选药品。不得以费用控制、药占比、医疗机构用药品种规格数量等为由，影响药品的合理使用和供应保障。家庭医生签约服务及管理按照自治区相关规定执行。</w:t>
      </w:r>
      <w:r>
        <w:rPr>
          <w:rFonts w:hint="eastAsia" w:ascii="仿宋_GB2312" w:eastAsia="仿宋_GB2312"/>
          <w:color w:val="auto"/>
          <w:spacing w:val="0"/>
          <w:sz w:val="32"/>
          <w:szCs w:val="32"/>
          <w:highlight w:val="none"/>
          <w:shd w:val="clear" w:color="auto" w:fill="FFFFFF"/>
          <w:lang w:val="en-US" w:eastAsia="zh-CN"/>
        </w:rPr>
        <w:t>鼓励医疗机构通过开设夜间门诊、周末门诊等方式，方便患者就诊开药。</w:t>
      </w:r>
    </w:p>
    <w:p>
      <w:pPr>
        <w:pStyle w:val="7"/>
        <w:keepNext w:val="0"/>
        <w:keepLines w:val="0"/>
        <w:pageBreakBefore w:val="0"/>
        <w:widowControl w:val="0"/>
        <w:kinsoku/>
        <w:wordWrap/>
        <w:overflowPunct/>
        <w:topLinePunct w:val="0"/>
        <w:bidi w:val="0"/>
        <w:adjustRightInd w:val="0"/>
        <w:snapToGrid w:val="0"/>
        <w:spacing w:line="580" w:lineRule="atLeast"/>
        <w:ind w:right="0" w:rightChars="0" w:firstLine="642" w:firstLineChars="200"/>
        <w:textAlignment w:val="auto"/>
        <w:rPr>
          <w:rFonts w:ascii="仿宋_GB2312" w:eastAsia="仿宋_GB2312"/>
          <w:color w:val="auto"/>
          <w:spacing w:val="0"/>
          <w:sz w:val="32"/>
          <w:szCs w:val="32"/>
          <w:highlight w:val="none"/>
          <w:shd w:val="clear" w:color="auto" w:fill="FFFFFF"/>
        </w:rPr>
      </w:pPr>
      <w:r>
        <w:rPr>
          <w:rFonts w:ascii="仿宋_GB2312" w:hAnsi="Times New Roman" w:eastAsia="仿宋_GB2312"/>
          <w:b/>
          <w:bCs/>
          <w:color w:val="auto"/>
          <w:spacing w:val="0"/>
          <w:sz w:val="32"/>
          <w:szCs w:val="32"/>
          <w:highlight w:val="none"/>
          <w:shd w:val="clear" w:color="auto" w:fill="FFFFFF"/>
        </w:rPr>
        <w:t>第二十</w:t>
      </w:r>
      <w:r>
        <w:rPr>
          <w:rFonts w:ascii="仿宋_GB2312" w:eastAsia="仿宋_GB2312"/>
          <w:b/>
          <w:bCs/>
          <w:color w:val="auto"/>
          <w:spacing w:val="0"/>
          <w:sz w:val="32"/>
          <w:szCs w:val="32"/>
          <w:highlight w:val="none"/>
          <w:shd w:val="clear" w:color="auto" w:fill="FFFFFF"/>
        </w:rPr>
        <w:t>三</w:t>
      </w:r>
      <w:r>
        <w:rPr>
          <w:rFonts w:ascii="仿宋_GB2312" w:hAnsi="Times New Roman" w:eastAsia="仿宋_GB2312"/>
          <w:b/>
          <w:bCs/>
          <w:color w:val="auto"/>
          <w:spacing w:val="0"/>
          <w:sz w:val="32"/>
          <w:szCs w:val="32"/>
          <w:highlight w:val="none"/>
          <w:shd w:val="clear" w:color="auto" w:fill="FFFFFF"/>
        </w:rPr>
        <w:t>条</w:t>
      </w:r>
      <w:r>
        <w:rPr>
          <w:rFonts w:ascii="仿宋_GB2312" w:eastAsia="仿宋_GB2312"/>
          <w:b/>
          <w:bCs/>
          <w:color w:val="auto"/>
          <w:spacing w:val="0"/>
          <w:sz w:val="32"/>
          <w:szCs w:val="32"/>
          <w:highlight w:val="none"/>
          <w:shd w:val="clear" w:color="auto" w:fill="FFFFFF"/>
        </w:rPr>
        <w:t xml:space="preserve">  </w:t>
      </w:r>
      <w:r>
        <w:rPr>
          <w:rFonts w:ascii="仿宋_GB2312" w:eastAsia="仿宋_GB2312" w:cs="Times New Roman"/>
          <w:color w:val="auto"/>
          <w:spacing w:val="0"/>
          <w:sz w:val="32"/>
          <w:szCs w:val="32"/>
          <w:highlight w:val="none"/>
          <w:shd w:val="clear" w:color="auto" w:fill="FFFFFF"/>
        </w:rPr>
        <w:t>定点医疗机构在严格遵守《处方管理办法》等行业法律法规</w:t>
      </w:r>
      <w:r>
        <w:rPr>
          <w:rFonts w:hint="eastAsia" w:ascii="仿宋_GB2312" w:eastAsia="仿宋_GB2312" w:cs="Times New Roman"/>
          <w:color w:val="auto"/>
          <w:spacing w:val="0"/>
          <w:sz w:val="32"/>
          <w:szCs w:val="32"/>
          <w:highlight w:val="none"/>
          <w:shd w:val="clear" w:color="auto" w:fill="FFFFFF"/>
          <w:lang w:eastAsia="zh-CN"/>
        </w:rPr>
        <w:t>，</w:t>
      </w:r>
      <w:r>
        <w:rPr>
          <w:rFonts w:hint="eastAsia" w:ascii="仿宋_GB2312" w:hAnsi="方正仿宋简体" w:eastAsia="仿宋_GB2312" w:cs="Times New Roman"/>
          <w:b w:val="0"/>
          <w:bCs w:val="0"/>
          <w:i w:val="0"/>
          <w:caps w:val="0"/>
          <w:color w:val="auto"/>
          <w:spacing w:val="0"/>
          <w:kern w:val="0"/>
          <w:sz w:val="32"/>
          <w:szCs w:val="32"/>
          <w:highlight w:val="none"/>
          <w:shd w:val="clear" w:color="auto" w:fill="FFFFFF"/>
          <w:lang w:val="en-US" w:eastAsia="zh-CN" w:bidi="ar"/>
        </w:rPr>
        <w:t>以及</w:t>
      </w:r>
      <w:r>
        <w:rPr>
          <w:rFonts w:hint="eastAsia" w:ascii="仿宋_GB2312" w:eastAsia="仿宋_GB2312" w:cs="Times New Roman"/>
          <w:b w:val="0"/>
          <w:bCs w:val="0"/>
          <w:i w:val="0"/>
          <w:caps w:val="0"/>
          <w:color w:val="auto"/>
          <w:spacing w:val="0"/>
          <w:kern w:val="0"/>
          <w:sz w:val="32"/>
          <w:szCs w:val="32"/>
          <w:highlight w:val="none"/>
          <w:shd w:val="clear" w:color="auto" w:fill="FFFFFF"/>
          <w:lang w:val="en-US" w:eastAsia="zh-CN" w:bidi="ar"/>
        </w:rPr>
        <w:t>执行</w:t>
      </w:r>
      <w:r>
        <w:rPr>
          <w:rFonts w:hint="eastAsia" w:ascii="仿宋_GB2312" w:hAnsi="方正仿宋简体" w:eastAsia="仿宋_GB2312" w:cs="Times New Roman"/>
          <w:b w:val="0"/>
          <w:bCs w:val="0"/>
          <w:i w:val="0"/>
          <w:caps w:val="0"/>
          <w:color w:val="auto"/>
          <w:spacing w:val="0"/>
          <w:kern w:val="0"/>
          <w:sz w:val="32"/>
          <w:szCs w:val="32"/>
          <w:highlight w:val="none"/>
          <w:shd w:val="clear" w:color="auto" w:fill="FFFFFF"/>
          <w:lang w:val="en-US" w:eastAsia="zh-CN" w:bidi="ar"/>
        </w:rPr>
        <w:t>长处方相关管理规范和确保医疗质量安全的前提下，</w:t>
      </w:r>
      <w:r>
        <w:rPr>
          <w:rFonts w:ascii="仿宋_GB2312" w:eastAsia="仿宋_GB2312" w:cs="Times New Roman"/>
          <w:color w:val="auto"/>
          <w:spacing w:val="0"/>
          <w:sz w:val="32"/>
          <w:szCs w:val="32"/>
          <w:highlight w:val="none"/>
          <w:shd w:val="clear" w:color="auto" w:fill="FFFFFF"/>
        </w:rPr>
        <w:t>可对门诊慢特病患者实施长期处方。长期处方周期按最长不超过12周用药量的原则</w:t>
      </w:r>
      <w:r>
        <w:rPr>
          <w:rFonts w:hint="eastAsia" w:ascii="仿宋_GB2312" w:eastAsia="仿宋_GB2312" w:cs="Times New Roman"/>
          <w:color w:val="auto"/>
          <w:spacing w:val="0"/>
          <w:sz w:val="32"/>
          <w:szCs w:val="32"/>
          <w:highlight w:val="none"/>
          <w:shd w:val="clear" w:color="auto" w:fill="FFFFFF"/>
          <w:lang w:val="en-US" w:eastAsia="zh-CN"/>
        </w:rPr>
        <w:t>和要求</w:t>
      </w:r>
      <w:r>
        <w:rPr>
          <w:rFonts w:ascii="仿宋_GB2312" w:eastAsia="仿宋_GB2312" w:cs="Times New Roman"/>
          <w:color w:val="auto"/>
          <w:spacing w:val="0"/>
          <w:sz w:val="32"/>
          <w:szCs w:val="32"/>
          <w:highlight w:val="none"/>
          <w:shd w:val="clear" w:color="auto" w:fill="FFFFFF"/>
        </w:rPr>
        <w:t>给药，并由医疗机构告知患者关于药品储存、用药指导、病情监测、不适随诊等用药安全信息。</w:t>
      </w:r>
    </w:p>
    <w:p>
      <w:pPr>
        <w:keepNext w:val="0"/>
        <w:keepLines w:val="0"/>
        <w:pageBreakBefore w:val="0"/>
        <w:widowControl w:val="0"/>
        <w:kinsoku/>
        <w:wordWrap/>
        <w:overflowPunct/>
        <w:topLinePunct w:val="0"/>
        <w:bidi w:val="0"/>
        <w:adjustRightInd w:val="0"/>
        <w:snapToGrid w:val="0"/>
        <w:spacing w:line="580" w:lineRule="atLeast"/>
        <w:ind w:right="0" w:rightChars="0" w:firstLine="642" w:firstLineChars="200"/>
        <w:textAlignment w:val="auto"/>
        <w:rPr>
          <w:rFonts w:hint="eastAsia" w:ascii="仿宋_GB2312" w:hAnsi="Times New Roman" w:eastAsia="仿宋_GB2312"/>
          <w:color w:val="auto"/>
          <w:spacing w:val="0"/>
          <w:sz w:val="32"/>
          <w:szCs w:val="32"/>
          <w:highlight w:val="none"/>
          <w:shd w:val="clear" w:color="auto" w:fill="FFFFFF"/>
        </w:rPr>
      </w:pPr>
      <w:r>
        <w:rPr>
          <w:rFonts w:hint="eastAsia" w:ascii="仿宋_GB2312" w:hAnsi="Times New Roman" w:eastAsia="仿宋_GB2312"/>
          <w:b/>
          <w:bCs/>
          <w:color w:val="auto"/>
          <w:spacing w:val="0"/>
          <w:sz w:val="32"/>
          <w:szCs w:val="32"/>
          <w:highlight w:val="none"/>
          <w:shd w:val="clear" w:color="auto" w:fill="FFFFFF"/>
        </w:rPr>
        <w:t xml:space="preserve">第二十四条  </w:t>
      </w:r>
      <w:r>
        <w:rPr>
          <w:rFonts w:hint="eastAsia" w:ascii="仿宋_GB2312" w:hAnsi="Times New Roman" w:eastAsia="仿宋_GB2312"/>
          <w:color w:val="auto"/>
          <w:spacing w:val="0"/>
          <w:sz w:val="32"/>
          <w:szCs w:val="32"/>
          <w:highlight w:val="none"/>
          <w:shd w:val="clear" w:color="auto" w:fill="FFFFFF"/>
        </w:rPr>
        <w:t>办理异地就医备案的参保人员，首次（或新增）申请认定门诊慢特病待遇</w:t>
      </w:r>
      <w:r>
        <w:rPr>
          <w:rFonts w:hint="eastAsia" w:ascii="仿宋_GB2312" w:hAnsi="Times New Roman" w:eastAsia="仿宋_GB2312" w:cs="Times New Roman"/>
          <w:color w:val="auto"/>
          <w:spacing w:val="0"/>
          <w:sz w:val="32"/>
          <w:szCs w:val="32"/>
          <w:highlight w:val="none"/>
          <w:shd w:val="clear" w:color="auto" w:fill="FFFFFF"/>
        </w:rPr>
        <w:t>资格的，可持相关病</w:t>
      </w:r>
      <w:r>
        <w:rPr>
          <w:rFonts w:hint="eastAsia" w:ascii="仿宋_GB2312" w:hAnsi="Times New Roman" w:eastAsia="仿宋_GB2312" w:cs="Times New Roman"/>
          <w:color w:val="auto"/>
          <w:spacing w:val="0"/>
          <w:sz w:val="32"/>
          <w:szCs w:val="32"/>
          <w:highlight w:val="none"/>
          <w:shd w:val="clear" w:color="auto" w:fill="FFFFFF"/>
          <w:lang w:val="en-US" w:eastAsia="zh-CN"/>
        </w:rPr>
        <w:t>历</w:t>
      </w:r>
      <w:r>
        <w:rPr>
          <w:rFonts w:hint="eastAsia" w:ascii="仿宋_GB2312" w:hAnsi="Times New Roman" w:eastAsia="仿宋_GB2312" w:cs="Times New Roman"/>
          <w:color w:val="auto"/>
          <w:spacing w:val="0"/>
          <w:sz w:val="32"/>
          <w:szCs w:val="32"/>
          <w:highlight w:val="none"/>
          <w:shd w:val="clear" w:color="auto" w:fill="FFFFFF"/>
        </w:rPr>
        <w:t>资料到区内认定医院或参保地医保经办机构办理认定手续，经审批后享受门诊慢特病待遇。</w:t>
      </w:r>
    </w:p>
    <w:p>
      <w:pPr>
        <w:keepNext w:val="0"/>
        <w:keepLines w:val="0"/>
        <w:pageBreakBefore w:val="0"/>
        <w:widowControl w:val="0"/>
        <w:kinsoku/>
        <w:wordWrap/>
        <w:overflowPunct/>
        <w:topLinePunct w:val="0"/>
        <w:bidi w:val="0"/>
        <w:adjustRightInd w:val="0"/>
        <w:snapToGrid w:val="0"/>
        <w:spacing w:line="580" w:lineRule="atLeast"/>
        <w:ind w:right="0" w:rightChars="0" w:firstLine="642" w:firstLineChars="200"/>
        <w:textAlignment w:val="auto"/>
        <w:rPr>
          <w:rFonts w:hint="eastAsia" w:ascii="黑体" w:hAnsi="黑体" w:eastAsia="黑体" w:cs="仿宋_GB2312"/>
          <w:b w:val="0"/>
          <w:color w:val="auto"/>
          <w:spacing w:val="0"/>
          <w:sz w:val="32"/>
          <w:szCs w:val="32"/>
          <w:highlight w:val="none"/>
        </w:rPr>
      </w:pPr>
      <w:r>
        <w:rPr>
          <w:rFonts w:hint="eastAsia" w:ascii="仿宋_GB2312" w:hAnsi="Times New Roman" w:eastAsia="仿宋_GB2312"/>
          <w:b/>
          <w:bCs/>
          <w:color w:val="auto"/>
          <w:spacing w:val="0"/>
          <w:sz w:val="32"/>
          <w:szCs w:val="32"/>
          <w:highlight w:val="none"/>
          <w:shd w:val="clear" w:color="auto" w:fill="FFFFFF"/>
        </w:rPr>
        <w:t xml:space="preserve">第二十五条  </w:t>
      </w:r>
      <w:r>
        <w:rPr>
          <w:rFonts w:hint="eastAsia" w:ascii="仿宋_GB2312" w:hAnsi="Times New Roman" w:eastAsia="仿宋_GB2312"/>
          <w:color w:val="auto"/>
          <w:spacing w:val="0"/>
          <w:sz w:val="32"/>
          <w:szCs w:val="32"/>
          <w:highlight w:val="none"/>
          <w:shd w:val="clear" w:color="auto" w:fill="FFFFFF"/>
        </w:rPr>
        <w:t>各市、县（区）医保经办机构</w:t>
      </w:r>
      <w:r>
        <w:rPr>
          <w:rFonts w:hint="eastAsia" w:ascii="仿宋_GB2312" w:hAnsi="Times New Roman" w:eastAsia="仿宋_GB2312"/>
          <w:color w:val="auto"/>
          <w:spacing w:val="0"/>
          <w:sz w:val="32"/>
          <w:szCs w:val="32"/>
          <w:highlight w:val="none"/>
          <w:shd w:val="clear" w:color="auto" w:fill="FFFFFF"/>
          <w:lang w:eastAsia="zh-Hans"/>
        </w:rPr>
        <w:t>定期或不定期对</w:t>
      </w:r>
      <w:r>
        <w:rPr>
          <w:rFonts w:hint="eastAsia" w:ascii="仿宋_GB2312" w:hAnsi="Times New Roman" w:eastAsia="仿宋_GB2312"/>
          <w:color w:val="auto"/>
          <w:spacing w:val="0"/>
          <w:sz w:val="32"/>
          <w:szCs w:val="32"/>
          <w:highlight w:val="none"/>
          <w:shd w:val="clear" w:color="auto" w:fill="FFFFFF"/>
        </w:rPr>
        <w:t>定点</w:t>
      </w:r>
      <w:r>
        <w:rPr>
          <w:rFonts w:hint="eastAsia" w:ascii="仿宋_GB2312" w:hAnsi="Times New Roman" w:eastAsia="仿宋_GB2312"/>
          <w:color w:val="auto"/>
          <w:spacing w:val="0"/>
          <w:sz w:val="32"/>
          <w:szCs w:val="32"/>
          <w:highlight w:val="none"/>
          <w:shd w:val="clear" w:color="auto" w:fill="FFFFFF"/>
          <w:lang w:eastAsia="zh-CN"/>
        </w:rPr>
        <w:t>医疗</w:t>
      </w:r>
      <w:r>
        <w:rPr>
          <w:rFonts w:hint="eastAsia" w:ascii="仿宋_GB2312" w:hAnsi="Times New Roman" w:eastAsia="仿宋_GB2312"/>
          <w:color w:val="auto"/>
          <w:spacing w:val="0"/>
          <w:sz w:val="32"/>
          <w:szCs w:val="32"/>
          <w:highlight w:val="none"/>
          <w:shd w:val="clear" w:color="auto" w:fill="FFFFFF"/>
          <w:lang w:eastAsia="zh-Hans"/>
        </w:rPr>
        <w:t>机构</w:t>
      </w:r>
      <w:r>
        <w:rPr>
          <w:rFonts w:hint="eastAsia" w:ascii="仿宋_GB2312" w:hAnsi="Times New Roman" w:eastAsia="仿宋_GB2312"/>
          <w:color w:val="auto"/>
          <w:spacing w:val="0"/>
          <w:sz w:val="32"/>
          <w:szCs w:val="32"/>
          <w:highlight w:val="none"/>
          <w:shd w:val="clear" w:color="auto" w:fill="FFFFFF"/>
        </w:rPr>
        <w:t>门诊共济保障的服务管理</w:t>
      </w:r>
      <w:r>
        <w:rPr>
          <w:rFonts w:hint="eastAsia" w:ascii="仿宋_GB2312" w:hAnsi="Times New Roman" w:eastAsia="仿宋_GB2312"/>
          <w:color w:val="auto"/>
          <w:spacing w:val="0"/>
          <w:sz w:val="32"/>
          <w:szCs w:val="32"/>
          <w:highlight w:val="none"/>
          <w:shd w:val="clear" w:color="auto" w:fill="FFFFFF"/>
          <w:lang w:eastAsia="zh-Hans"/>
        </w:rPr>
        <w:t>工作</w:t>
      </w:r>
      <w:r>
        <w:rPr>
          <w:rFonts w:hint="eastAsia" w:ascii="仿宋_GB2312" w:hAnsi="Times New Roman" w:eastAsia="仿宋_GB2312"/>
          <w:color w:val="auto"/>
          <w:spacing w:val="0"/>
          <w:sz w:val="32"/>
          <w:szCs w:val="32"/>
          <w:highlight w:val="none"/>
          <w:shd w:val="clear" w:color="auto" w:fill="FFFFFF"/>
        </w:rPr>
        <w:t>进行</w:t>
      </w:r>
      <w:r>
        <w:rPr>
          <w:rFonts w:hint="eastAsia" w:ascii="仿宋_GB2312" w:hAnsi="Times New Roman" w:eastAsia="仿宋_GB2312"/>
          <w:color w:val="auto"/>
          <w:spacing w:val="0"/>
          <w:sz w:val="32"/>
          <w:szCs w:val="32"/>
          <w:highlight w:val="none"/>
          <w:shd w:val="clear" w:color="auto" w:fill="FFFFFF"/>
          <w:lang w:eastAsia="zh-CN"/>
        </w:rPr>
        <w:t>监督检</w:t>
      </w:r>
      <w:r>
        <w:rPr>
          <w:rFonts w:hint="eastAsia" w:ascii="仿宋_GB2312" w:hAnsi="Times New Roman" w:eastAsia="仿宋_GB2312"/>
          <w:color w:val="auto"/>
          <w:spacing w:val="0"/>
          <w:sz w:val="32"/>
          <w:szCs w:val="32"/>
          <w:highlight w:val="none"/>
          <w:shd w:val="clear" w:color="auto" w:fill="FFFFFF"/>
        </w:rPr>
        <w:t>查，</w:t>
      </w:r>
      <w:r>
        <w:rPr>
          <w:rFonts w:hint="eastAsia" w:ascii="仿宋_GB2312" w:hAnsi="Times New Roman" w:eastAsia="仿宋_GB2312"/>
          <w:color w:val="auto"/>
          <w:spacing w:val="0"/>
          <w:sz w:val="32"/>
          <w:szCs w:val="32"/>
          <w:highlight w:val="none"/>
          <w:shd w:val="clear" w:color="auto" w:fill="FFFFFF"/>
          <w:lang w:eastAsia="zh-CN"/>
        </w:rPr>
        <w:t>医疗</w:t>
      </w:r>
      <w:r>
        <w:rPr>
          <w:rFonts w:hint="eastAsia" w:ascii="仿宋_GB2312" w:hAnsi="Times New Roman" w:eastAsia="仿宋_GB2312"/>
          <w:color w:val="auto"/>
          <w:spacing w:val="0"/>
          <w:sz w:val="32"/>
          <w:szCs w:val="32"/>
          <w:highlight w:val="none"/>
          <w:shd w:val="clear" w:color="auto" w:fill="FFFFFF"/>
        </w:rPr>
        <w:t>机构应及时提供相关工作资料</w:t>
      </w:r>
      <w:r>
        <w:rPr>
          <w:rFonts w:ascii="仿宋_GB2312" w:hAnsi="Times New Roman" w:eastAsia="仿宋_GB2312"/>
          <w:color w:val="auto"/>
          <w:spacing w:val="0"/>
          <w:sz w:val="32"/>
          <w:szCs w:val="32"/>
          <w:highlight w:val="none"/>
          <w:shd w:val="clear" w:color="auto" w:fill="FFFFFF"/>
        </w:rPr>
        <w:t>。</w:t>
      </w:r>
    </w:p>
    <w:p>
      <w:pPr>
        <w:keepNext w:val="0"/>
        <w:keepLines w:val="0"/>
        <w:pageBreakBefore w:val="0"/>
        <w:widowControl w:val="0"/>
        <w:kinsoku/>
        <w:wordWrap/>
        <w:overflowPunct/>
        <w:topLinePunct w:val="0"/>
        <w:bidi w:val="0"/>
        <w:adjustRightInd w:val="0"/>
        <w:snapToGrid w:val="0"/>
        <w:spacing w:line="580" w:lineRule="atLeast"/>
        <w:ind w:right="0" w:rightChars="0"/>
        <w:jc w:val="left"/>
        <w:textAlignment w:val="auto"/>
        <w:rPr>
          <w:rFonts w:hint="eastAsia" w:ascii="Times New Roman" w:hAnsi="Times New Roman" w:eastAsia="宋体" w:cs="Times New Roman"/>
          <w:color w:val="auto"/>
          <w:spacing w:val="0"/>
          <w:kern w:val="2"/>
          <w:sz w:val="18"/>
          <w:szCs w:val="18"/>
          <w:highlight w:val="none"/>
          <w:lang w:val="en-US" w:eastAsia="zh-CN" w:bidi="ar-SA"/>
        </w:rPr>
      </w:pPr>
    </w:p>
    <w:p>
      <w:pPr>
        <w:keepNext w:val="0"/>
        <w:keepLines w:val="0"/>
        <w:pageBreakBefore w:val="0"/>
        <w:widowControl w:val="0"/>
        <w:kinsoku/>
        <w:wordWrap/>
        <w:overflowPunct/>
        <w:topLinePunct w:val="0"/>
        <w:bidi w:val="0"/>
        <w:adjustRightInd w:val="0"/>
        <w:snapToGrid w:val="0"/>
        <w:spacing w:line="580" w:lineRule="atLeast"/>
        <w:ind w:right="0" w:rightChars="0" w:firstLine="0" w:firstLineChars="0"/>
        <w:jc w:val="center"/>
        <w:textAlignment w:val="auto"/>
        <w:rPr>
          <w:rFonts w:ascii="黑体" w:hAnsi="黑体" w:eastAsia="黑体" w:cs="仿宋_GB2312"/>
          <w:b w:val="0"/>
          <w:color w:val="auto"/>
          <w:spacing w:val="0"/>
          <w:kern w:val="2"/>
          <w:sz w:val="32"/>
          <w:szCs w:val="32"/>
          <w:highlight w:val="none"/>
          <w:lang w:val="en-US" w:eastAsia="zh-CN" w:bidi="ar-SA"/>
        </w:rPr>
      </w:pPr>
      <w:r>
        <w:rPr>
          <w:rFonts w:hint="eastAsia" w:ascii="黑体" w:hAnsi="黑体" w:eastAsia="黑体" w:cs="仿宋_GB2312"/>
          <w:b w:val="0"/>
          <w:bCs/>
          <w:color w:val="auto"/>
          <w:spacing w:val="0"/>
          <w:kern w:val="2"/>
          <w:sz w:val="32"/>
          <w:szCs w:val="32"/>
          <w:highlight w:val="none"/>
          <w:lang w:val="en-US" w:eastAsia="zh-CN" w:bidi="ar-SA"/>
        </w:rPr>
        <w:t>第六章 医疗费用</w:t>
      </w:r>
      <w:r>
        <w:rPr>
          <w:rFonts w:ascii="黑体" w:hAnsi="黑体" w:eastAsia="黑体" w:cs="仿宋_GB2312"/>
          <w:b w:val="0"/>
          <w:bCs/>
          <w:color w:val="auto"/>
          <w:spacing w:val="0"/>
          <w:kern w:val="2"/>
          <w:sz w:val="32"/>
          <w:szCs w:val="32"/>
          <w:highlight w:val="none"/>
          <w:lang w:val="en-US" w:eastAsia="zh-CN" w:bidi="ar-SA"/>
        </w:rPr>
        <w:t>结算</w:t>
      </w:r>
    </w:p>
    <w:p>
      <w:pPr>
        <w:keepNext w:val="0"/>
        <w:keepLines w:val="0"/>
        <w:pageBreakBefore w:val="0"/>
        <w:widowControl w:val="0"/>
        <w:kinsoku/>
        <w:wordWrap/>
        <w:overflowPunct/>
        <w:topLinePunct w:val="0"/>
        <w:bidi w:val="0"/>
        <w:adjustRightInd w:val="0"/>
        <w:snapToGrid w:val="0"/>
        <w:spacing w:line="580" w:lineRule="atLeast"/>
        <w:ind w:right="0" w:rightChars="0" w:firstLine="642" w:firstLineChars="200"/>
        <w:textAlignment w:val="auto"/>
        <w:rPr>
          <w:rFonts w:hint="default" w:ascii="仿宋_GB2312" w:hAnsi="仿宋_GB2312" w:eastAsia="仿宋_GB2312" w:cs="仿宋_GB2312"/>
          <w:color w:val="auto"/>
          <w:spacing w:val="0"/>
          <w:sz w:val="32"/>
          <w:szCs w:val="32"/>
          <w:highlight w:val="none"/>
          <w:shd w:val="clear" w:color="auto" w:fill="FFFFFF"/>
          <w:lang w:val="en-US" w:eastAsia="zh-CN"/>
        </w:rPr>
      </w:pPr>
      <w:r>
        <w:rPr>
          <w:rFonts w:hint="eastAsia" w:ascii="仿宋_GB2312" w:hAnsi="Times New Roman" w:eastAsia="仿宋_GB2312"/>
          <w:b/>
          <w:color w:val="auto"/>
          <w:spacing w:val="0"/>
          <w:sz w:val="32"/>
          <w:szCs w:val="32"/>
          <w:highlight w:val="none"/>
          <w:shd w:val="clear" w:color="auto" w:fill="FFFFFF"/>
        </w:rPr>
        <w:t xml:space="preserve">第二十六条 </w:t>
      </w:r>
      <w:r>
        <w:rPr>
          <w:rFonts w:hint="eastAsia" w:ascii="仿宋_GB2312" w:hAnsi="仿宋_GB2312" w:eastAsia="仿宋_GB2312" w:cs="仿宋_GB2312"/>
          <w:color w:val="auto"/>
          <w:spacing w:val="0"/>
          <w:sz w:val="32"/>
          <w:szCs w:val="32"/>
          <w:highlight w:val="none"/>
          <w:shd w:val="clear" w:color="auto" w:fill="FFFFFF"/>
        </w:rPr>
        <w:t xml:space="preserve"> 参保人员在区内定点</w:t>
      </w:r>
      <w:r>
        <w:rPr>
          <w:rFonts w:hint="eastAsia" w:ascii="仿宋_GB2312" w:hAnsi="仿宋_GB2312" w:eastAsia="仿宋_GB2312" w:cs="仿宋_GB2312"/>
          <w:color w:val="auto"/>
          <w:spacing w:val="0"/>
          <w:sz w:val="32"/>
          <w:szCs w:val="32"/>
          <w:highlight w:val="none"/>
          <w:shd w:val="clear" w:color="auto" w:fill="FFFFFF"/>
          <w:lang w:eastAsia="zh-CN"/>
        </w:rPr>
        <w:t>医疗</w:t>
      </w:r>
      <w:r>
        <w:rPr>
          <w:rFonts w:hint="eastAsia" w:ascii="仿宋_GB2312" w:hAnsi="仿宋_GB2312" w:eastAsia="仿宋_GB2312" w:cs="仿宋_GB2312"/>
          <w:color w:val="auto"/>
          <w:spacing w:val="0"/>
          <w:sz w:val="32"/>
          <w:szCs w:val="32"/>
          <w:highlight w:val="none"/>
          <w:shd w:val="clear" w:color="auto" w:fill="FFFFFF"/>
        </w:rPr>
        <w:t>机构按全区统一政策实行直接结算。参保人员在区外定点</w:t>
      </w:r>
      <w:r>
        <w:rPr>
          <w:rFonts w:hint="eastAsia" w:ascii="仿宋_GB2312" w:hAnsi="仿宋_GB2312" w:eastAsia="仿宋_GB2312" w:cs="仿宋_GB2312"/>
          <w:color w:val="auto"/>
          <w:spacing w:val="0"/>
          <w:sz w:val="32"/>
          <w:szCs w:val="32"/>
          <w:highlight w:val="none"/>
          <w:shd w:val="clear" w:color="auto" w:fill="FFFFFF"/>
          <w:lang w:eastAsia="zh-CN"/>
        </w:rPr>
        <w:t>医疗</w:t>
      </w:r>
      <w:r>
        <w:rPr>
          <w:rFonts w:hint="eastAsia" w:ascii="仿宋_GB2312" w:hAnsi="仿宋_GB2312" w:eastAsia="仿宋_GB2312" w:cs="仿宋_GB2312"/>
          <w:color w:val="auto"/>
          <w:spacing w:val="0"/>
          <w:sz w:val="32"/>
          <w:szCs w:val="32"/>
          <w:highlight w:val="none"/>
          <w:shd w:val="clear" w:color="auto" w:fill="FFFFFF"/>
        </w:rPr>
        <w:t>机构的结算，根据我区跨省异地就医直接结算工作推进进度具体实施。跨省异地就医直接结算</w:t>
      </w:r>
      <w:r>
        <w:rPr>
          <w:rFonts w:hint="eastAsia" w:ascii="仿宋_GB2312" w:hAnsi="仿宋_GB2312" w:eastAsia="仿宋_GB2312" w:cs="仿宋_GB2312"/>
          <w:color w:val="auto"/>
          <w:spacing w:val="0"/>
          <w:sz w:val="32"/>
          <w:szCs w:val="32"/>
          <w:highlight w:val="none"/>
          <w:shd w:val="clear" w:color="auto" w:fill="FFFFFF"/>
          <w:lang w:eastAsia="zh-CN"/>
        </w:rPr>
        <w:t>的，</w:t>
      </w:r>
      <w:r>
        <w:rPr>
          <w:rFonts w:hint="eastAsia" w:ascii="仿宋_GB2312" w:hAnsi="仿宋_GB2312" w:eastAsia="仿宋_GB2312" w:cs="仿宋_GB2312"/>
          <w:color w:val="auto"/>
          <w:spacing w:val="0"/>
          <w:sz w:val="32"/>
          <w:szCs w:val="32"/>
          <w:highlight w:val="none"/>
          <w:shd w:val="clear" w:color="auto" w:fill="FFFFFF"/>
        </w:rPr>
        <w:t>执行参保地支付政策</w:t>
      </w:r>
      <w:r>
        <w:rPr>
          <w:rFonts w:hint="eastAsia" w:ascii="仿宋_GB2312" w:hAnsi="仿宋_GB2312" w:eastAsia="仿宋_GB2312" w:cs="仿宋_GB2312"/>
          <w:color w:val="auto"/>
          <w:spacing w:val="0"/>
          <w:sz w:val="32"/>
          <w:szCs w:val="32"/>
          <w:highlight w:val="none"/>
          <w:shd w:val="clear" w:color="auto" w:fill="FFFFFF"/>
          <w:lang w:eastAsia="zh-CN"/>
        </w:rPr>
        <w:t>和</w:t>
      </w:r>
      <w:r>
        <w:rPr>
          <w:rFonts w:hint="eastAsia" w:ascii="仿宋_GB2312" w:hAnsi="仿宋_GB2312" w:eastAsia="仿宋_GB2312" w:cs="仿宋_GB2312"/>
          <w:color w:val="auto"/>
          <w:spacing w:val="0"/>
          <w:sz w:val="32"/>
          <w:szCs w:val="32"/>
          <w:highlight w:val="none"/>
          <w:shd w:val="clear" w:color="auto" w:fill="FFFFFF"/>
        </w:rPr>
        <w:t>就医地支付范围</w:t>
      </w:r>
      <w:r>
        <w:rPr>
          <w:rFonts w:hint="eastAsia" w:ascii="仿宋_GB2312" w:hAnsi="仿宋_GB2312" w:eastAsia="仿宋_GB2312" w:cs="仿宋_GB2312"/>
          <w:color w:val="auto"/>
          <w:spacing w:val="0"/>
          <w:sz w:val="32"/>
          <w:szCs w:val="32"/>
          <w:highlight w:val="none"/>
          <w:shd w:val="clear" w:color="auto" w:fill="FFFFFF"/>
          <w:lang w:eastAsia="zh-CN"/>
        </w:rPr>
        <w:t>；</w:t>
      </w:r>
      <w:r>
        <w:rPr>
          <w:rFonts w:hint="eastAsia" w:ascii="仿宋_GB2312" w:hAnsi="仿宋_GB2312" w:eastAsia="仿宋_GB2312" w:cs="仿宋_GB2312"/>
          <w:color w:val="auto"/>
          <w:spacing w:val="0"/>
          <w:sz w:val="32"/>
          <w:szCs w:val="32"/>
          <w:highlight w:val="none"/>
          <w:shd w:val="clear" w:color="auto" w:fill="FFFFFF"/>
        </w:rPr>
        <w:t>跨省异地就医</w:t>
      </w:r>
      <w:r>
        <w:rPr>
          <w:rFonts w:hint="eastAsia" w:ascii="仿宋_GB2312" w:hAnsi="仿宋_GB2312" w:eastAsia="仿宋_GB2312" w:cs="仿宋_GB2312"/>
          <w:color w:val="auto"/>
          <w:spacing w:val="0"/>
          <w:sz w:val="32"/>
          <w:szCs w:val="32"/>
          <w:highlight w:val="none"/>
          <w:shd w:val="clear" w:color="auto" w:fill="FFFFFF"/>
          <w:lang w:eastAsia="zh-CN"/>
        </w:rPr>
        <w:t>未直接结算</w:t>
      </w:r>
      <w:r>
        <w:rPr>
          <w:rFonts w:hint="eastAsia" w:ascii="仿宋_GB2312" w:hAnsi="仿宋_GB2312" w:eastAsia="仿宋_GB2312" w:cs="仿宋_GB2312"/>
          <w:color w:val="auto"/>
          <w:spacing w:val="0"/>
          <w:sz w:val="32"/>
          <w:szCs w:val="32"/>
          <w:highlight w:val="none"/>
          <w:shd w:val="clear" w:color="auto" w:fill="FFFFFF"/>
        </w:rPr>
        <w:t>回参保地手工报销</w:t>
      </w:r>
      <w:r>
        <w:rPr>
          <w:rFonts w:hint="eastAsia" w:ascii="仿宋_GB2312" w:hAnsi="仿宋_GB2312" w:eastAsia="仿宋_GB2312" w:cs="仿宋_GB2312"/>
          <w:color w:val="auto"/>
          <w:spacing w:val="0"/>
          <w:sz w:val="32"/>
          <w:szCs w:val="32"/>
          <w:highlight w:val="none"/>
          <w:shd w:val="clear" w:color="auto" w:fill="FFFFFF"/>
          <w:lang w:eastAsia="zh-CN"/>
        </w:rPr>
        <w:t>的，</w:t>
      </w:r>
      <w:r>
        <w:rPr>
          <w:rFonts w:hint="eastAsia" w:ascii="仿宋_GB2312" w:hAnsi="仿宋_GB2312" w:eastAsia="仿宋_GB2312" w:cs="仿宋_GB2312"/>
          <w:color w:val="auto"/>
          <w:spacing w:val="0"/>
          <w:sz w:val="32"/>
          <w:szCs w:val="32"/>
          <w:highlight w:val="none"/>
          <w:shd w:val="clear" w:color="auto" w:fill="FFFFFF"/>
        </w:rPr>
        <w:t>执行参保地支付政策</w:t>
      </w:r>
      <w:r>
        <w:rPr>
          <w:rFonts w:hint="eastAsia" w:ascii="仿宋_GB2312" w:hAnsi="仿宋_GB2312" w:eastAsia="仿宋_GB2312" w:cs="仿宋_GB2312"/>
          <w:color w:val="auto"/>
          <w:spacing w:val="0"/>
          <w:sz w:val="32"/>
          <w:szCs w:val="32"/>
          <w:highlight w:val="none"/>
          <w:shd w:val="clear" w:color="auto" w:fill="FFFFFF"/>
          <w:lang w:eastAsia="zh-CN"/>
        </w:rPr>
        <w:t>、医保三项</w:t>
      </w:r>
      <w:r>
        <w:rPr>
          <w:rFonts w:hint="eastAsia" w:ascii="仿宋_GB2312" w:hAnsi="仿宋_GB2312" w:eastAsia="仿宋_GB2312" w:cs="仿宋_GB2312"/>
          <w:color w:val="auto"/>
          <w:spacing w:val="0"/>
          <w:sz w:val="32"/>
          <w:szCs w:val="32"/>
          <w:highlight w:val="none"/>
          <w:shd w:val="clear" w:color="auto" w:fill="FFFFFF"/>
        </w:rPr>
        <w:t>目录</w:t>
      </w:r>
      <w:r>
        <w:rPr>
          <w:rFonts w:hint="eastAsia" w:ascii="仿宋_GB2312" w:hAnsi="仿宋_GB2312" w:eastAsia="仿宋_GB2312" w:cs="仿宋_GB2312"/>
          <w:color w:val="auto"/>
          <w:spacing w:val="0"/>
          <w:sz w:val="32"/>
          <w:szCs w:val="32"/>
          <w:highlight w:val="none"/>
          <w:shd w:val="clear" w:color="auto" w:fill="FFFFFF"/>
          <w:lang w:eastAsia="zh-CN"/>
        </w:rPr>
        <w:t>和</w:t>
      </w:r>
      <w:r>
        <w:rPr>
          <w:rFonts w:hint="eastAsia" w:ascii="仿宋_GB2312" w:hAnsi="仿宋_GB2312" w:eastAsia="仿宋_GB2312" w:cs="仿宋_GB2312"/>
          <w:color w:val="auto"/>
          <w:spacing w:val="0"/>
          <w:sz w:val="32"/>
          <w:szCs w:val="32"/>
          <w:highlight w:val="none"/>
          <w:shd w:val="clear" w:color="auto" w:fill="FFFFFF"/>
        </w:rPr>
        <w:t>就医地</w:t>
      </w:r>
      <w:r>
        <w:rPr>
          <w:rFonts w:hint="eastAsia" w:ascii="仿宋_GB2312" w:hAnsi="仿宋_GB2312" w:eastAsia="仿宋_GB2312" w:cs="仿宋_GB2312"/>
          <w:color w:val="auto"/>
          <w:spacing w:val="0"/>
          <w:sz w:val="32"/>
          <w:szCs w:val="32"/>
          <w:highlight w:val="none"/>
          <w:shd w:val="clear" w:color="auto" w:fill="FFFFFF"/>
        </w:rPr>
        <w:t>医药</w:t>
      </w:r>
      <w:r>
        <w:rPr>
          <w:rFonts w:hint="eastAsia" w:ascii="仿宋_GB2312" w:hAnsi="仿宋_GB2312" w:eastAsia="仿宋_GB2312" w:cs="仿宋_GB2312"/>
          <w:color w:val="auto"/>
          <w:spacing w:val="0"/>
          <w:sz w:val="32"/>
          <w:szCs w:val="32"/>
          <w:highlight w:val="none"/>
          <w:shd w:val="clear" w:color="auto" w:fill="FFFFFF"/>
          <w:lang w:eastAsia="zh-CN"/>
        </w:rPr>
        <w:t>服务</w:t>
      </w:r>
      <w:r>
        <w:rPr>
          <w:rFonts w:hint="eastAsia" w:ascii="仿宋_GB2312" w:hAnsi="仿宋_GB2312" w:eastAsia="仿宋_GB2312" w:cs="仿宋_GB2312"/>
          <w:color w:val="auto"/>
          <w:spacing w:val="0"/>
          <w:sz w:val="32"/>
          <w:szCs w:val="32"/>
          <w:highlight w:val="none"/>
          <w:shd w:val="clear" w:color="auto" w:fill="FFFFFF"/>
        </w:rPr>
        <w:t>价</w:t>
      </w:r>
      <w:r>
        <w:rPr>
          <w:rFonts w:hint="eastAsia" w:ascii="仿宋_GB2312" w:hAnsi="仿宋_GB2312" w:eastAsia="仿宋_GB2312" w:cs="仿宋_GB2312"/>
          <w:color w:val="auto"/>
          <w:spacing w:val="0"/>
          <w:sz w:val="32"/>
          <w:szCs w:val="32"/>
          <w:highlight w:val="none"/>
          <w:shd w:val="clear" w:color="auto" w:fill="FFFFFF"/>
          <w:lang w:eastAsia="zh-CN"/>
        </w:rPr>
        <w:t>格。</w:t>
      </w:r>
    </w:p>
    <w:p>
      <w:pPr>
        <w:keepNext w:val="0"/>
        <w:keepLines w:val="0"/>
        <w:pageBreakBefore w:val="0"/>
        <w:widowControl w:val="0"/>
        <w:kinsoku/>
        <w:wordWrap/>
        <w:overflowPunct/>
        <w:topLinePunct w:val="0"/>
        <w:bidi w:val="0"/>
        <w:adjustRightInd w:val="0"/>
        <w:snapToGrid w:val="0"/>
        <w:spacing w:line="580" w:lineRule="atLeast"/>
        <w:ind w:right="0" w:rightChars="0" w:firstLine="642" w:firstLineChars="200"/>
        <w:textAlignment w:val="auto"/>
        <w:rPr>
          <w:rFonts w:hint="eastAsia" w:ascii="仿宋_GB2312" w:hAnsi="Times New Roman" w:eastAsia="仿宋_GB2312"/>
          <w:color w:val="auto"/>
          <w:spacing w:val="0"/>
          <w:sz w:val="32"/>
          <w:szCs w:val="32"/>
          <w:highlight w:val="none"/>
          <w:shd w:val="clear" w:color="auto" w:fill="FFFFFF"/>
        </w:rPr>
      </w:pPr>
      <w:r>
        <w:rPr>
          <w:rFonts w:hint="eastAsia" w:ascii="仿宋_GB2312" w:hAnsi="Times New Roman" w:eastAsia="仿宋_GB2312"/>
          <w:b/>
          <w:color w:val="auto"/>
          <w:spacing w:val="0"/>
          <w:sz w:val="32"/>
          <w:szCs w:val="32"/>
          <w:highlight w:val="none"/>
          <w:shd w:val="clear" w:color="auto" w:fill="FFFFFF"/>
        </w:rPr>
        <w:t xml:space="preserve">第二十七条  </w:t>
      </w:r>
      <w:r>
        <w:rPr>
          <w:rFonts w:hint="eastAsia" w:ascii="仿宋_GB2312" w:hAnsi="仿宋_GB2312" w:eastAsia="仿宋_GB2312" w:cs="仿宋_GB2312"/>
          <w:color w:val="auto"/>
          <w:spacing w:val="0"/>
          <w:sz w:val="32"/>
          <w:szCs w:val="32"/>
          <w:highlight w:val="none"/>
          <w:shd w:val="clear" w:color="auto" w:fill="FFFFFF"/>
          <w:lang w:val="en-US" w:eastAsia="zh-CN"/>
        </w:rPr>
        <w:t>参加职工基本医疗保险的跨省异地长期居住人员，在备案地定点医疗机构可享受跨省普通门诊统筹待遇；参加职工基本医疗保险的跨省异地就医临时备案人员，在备案地定点医疗机构不享受普通门诊统筹待遇。取得我区门诊慢特病待遇资格且办理跨省长期和临时备案的参保人员，在备案地定点医疗机构可享受跨省门诊慢特病待遇；未在就医地直接结算的，由参保人员先行全额垫付费用，持发票和医疗费用明细清单等相关资料到参保地经办机构办理报销手续。</w:t>
      </w:r>
    </w:p>
    <w:p>
      <w:pPr>
        <w:keepNext w:val="0"/>
        <w:keepLines w:val="0"/>
        <w:pageBreakBefore w:val="0"/>
        <w:widowControl w:val="0"/>
        <w:kinsoku/>
        <w:wordWrap/>
        <w:overflowPunct/>
        <w:topLinePunct w:val="0"/>
        <w:bidi w:val="0"/>
        <w:adjustRightInd w:val="0"/>
        <w:snapToGrid w:val="0"/>
        <w:spacing w:line="580" w:lineRule="atLeast"/>
        <w:ind w:right="0" w:rightChars="0" w:firstLine="642" w:firstLineChars="200"/>
        <w:textAlignment w:val="auto"/>
        <w:rPr>
          <w:rFonts w:hint="eastAsia" w:ascii="仿宋_GB2312" w:hAnsi="Times New Roman" w:eastAsia="仿宋_GB2312"/>
          <w:color w:val="auto"/>
          <w:spacing w:val="0"/>
          <w:sz w:val="32"/>
          <w:szCs w:val="32"/>
          <w:highlight w:val="none"/>
          <w:shd w:val="clear" w:color="auto" w:fill="FFFFFF"/>
        </w:rPr>
      </w:pPr>
      <w:r>
        <w:rPr>
          <w:rFonts w:hint="eastAsia" w:ascii="仿宋_GB2312" w:hAnsi="Times New Roman" w:eastAsia="仿宋_GB2312"/>
          <w:b/>
          <w:bCs/>
          <w:color w:val="auto"/>
          <w:spacing w:val="0"/>
          <w:sz w:val="32"/>
          <w:szCs w:val="32"/>
          <w:highlight w:val="none"/>
          <w:shd w:val="clear" w:color="auto" w:fill="FFFFFF"/>
        </w:rPr>
        <w:t>第二十八条</w:t>
      </w:r>
      <w:r>
        <w:rPr>
          <w:rFonts w:hint="eastAsia" w:ascii="仿宋_GB2312" w:hAnsi="Times New Roman" w:eastAsia="仿宋_GB2312"/>
          <w:b/>
          <w:bCs/>
          <w:color w:val="auto"/>
          <w:spacing w:val="0"/>
          <w:sz w:val="32"/>
          <w:szCs w:val="32"/>
          <w:highlight w:val="none"/>
          <w:shd w:val="clear" w:color="auto" w:fill="FFFFFF"/>
          <w:lang w:val="en-US" w:eastAsia="zh-CN"/>
        </w:rPr>
        <w:t xml:space="preserve"> </w:t>
      </w:r>
      <w:r>
        <w:rPr>
          <w:rFonts w:hint="eastAsia" w:ascii="仿宋_GB2312" w:hAnsi="Times New Roman" w:eastAsia="仿宋_GB2312"/>
          <w:b/>
          <w:bCs/>
          <w:color w:val="auto"/>
          <w:spacing w:val="0"/>
          <w:sz w:val="32"/>
          <w:szCs w:val="32"/>
          <w:highlight w:val="none"/>
          <w:shd w:val="clear" w:color="auto" w:fill="FFFFFF"/>
        </w:rPr>
        <w:t xml:space="preserve"> </w:t>
      </w:r>
      <w:r>
        <w:rPr>
          <w:rFonts w:hint="eastAsia" w:ascii="仿宋_GB2312" w:hAnsi="Times New Roman" w:eastAsia="仿宋_GB2312"/>
          <w:color w:val="auto"/>
          <w:spacing w:val="0"/>
          <w:sz w:val="32"/>
          <w:szCs w:val="32"/>
          <w:highlight w:val="none"/>
          <w:shd w:val="clear" w:color="auto" w:fill="FFFFFF"/>
        </w:rPr>
        <w:t>将符合条件的定点零售药店提供的用药保障服务纳入门诊共济保障范围，逐步探索医疗机构外配处方在定点零售药店结算和配药，充分发挥定点零售药店便民、可及的作用。具体办法由自治区医疗保障局会同相关部门另行制定。</w:t>
      </w:r>
    </w:p>
    <w:p>
      <w:pPr>
        <w:keepNext w:val="0"/>
        <w:keepLines w:val="0"/>
        <w:pageBreakBefore w:val="0"/>
        <w:widowControl w:val="0"/>
        <w:kinsoku/>
        <w:wordWrap/>
        <w:overflowPunct/>
        <w:topLinePunct w:val="0"/>
        <w:bidi w:val="0"/>
        <w:adjustRightInd w:val="0"/>
        <w:snapToGrid w:val="0"/>
        <w:spacing w:line="580" w:lineRule="atLeast"/>
        <w:ind w:right="0" w:rightChars="0" w:firstLine="642" w:firstLineChars="200"/>
        <w:textAlignment w:val="auto"/>
        <w:rPr>
          <w:rFonts w:hint="eastAsia" w:ascii="仿宋_GB2312" w:hAnsi="Times New Roman" w:eastAsia="仿宋_GB2312"/>
          <w:color w:val="auto"/>
          <w:spacing w:val="0"/>
          <w:sz w:val="32"/>
          <w:szCs w:val="32"/>
          <w:highlight w:val="none"/>
          <w:shd w:val="clear" w:color="auto" w:fill="FFFFFF"/>
        </w:rPr>
      </w:pPr>
      <w:r>
        <w:rPr>
          <w:rFonts w:hint="eastAsia" w:ascii="仿宋_GB2312" w:hAnsi="Times New Roman" w:eastAsia="仿宋_GB2312"/>
          <w:b/>
          <w:bCs/>
          <w:color w:val="auto"/>
          <w:spacing w:val="0"/>
          <w:sz w:val="32"/>
          <w:szCs w:val="32"/>
          <w:highlight w:val="none"/>
          <w:shd w:val="clear" w:color="auto" w:fill="FFFFFF"/>
        </w:rPr>
        <w:t xml:space="preserve">第二十九条  </w:t>
      </w:r>
      <w:r>
        <w:rPr>
          <w:rFonts w:hint="eastAsia" w:ascii="仿宋_GB2312" w:hAnsi="Times New Roman" w:eastAsia="仿宋_GB2312"/>
          <w:color w:val="auto"/>
          <w:spacing w:val="0"/>
          <w:sz w:val="32"/>
          <w:szCs w:val="32"/>
          <w:highlight w:val="none"/>
          <w:shd w:val="clear" w:color="auto" w:fill="FFFFFF"/>
        </w:rPr>
        <w:t>有条件的地区可按照线上线下政策统一、管理融合、支付衔接的原则，将符合条件的医保定点互联网医院纳入门诊共济保障结算服务机构范围。</w:t>
      </w:r>
    </w:p>
    <w:p>
      <w:pPr>
        <w:keepNext w:val="0"/>
        <w:keepLines w:val="0"/>
        <w:pageBreakBefore w:val="0"/>
        <w:widowControl w:val="0"/>
        <w:kinsoku/>
        <w:wordWrap/>
        <w:overflowPunct/>
        <w:topLinePunct w:val="0"/>
        <w:bidi w:val="0"/>
        <w:adjustRightInd w:val="0"/>
        <w:snapToGrid w:val="0"/>
        <w:spacing w:line="580" w:lineRule="atLeast"/>
        <w:ind w:right="0" w:rightChars="0"/>
        <w:textAlignment w:val="auto"/>
        <w:rPr>
          <w:rFonts w:ascii="黑体" w:hAnsi="黑体" w:eastAsia="黑体" w:cs="仿宋_GB2312"/>
          <w:b w:val="0"/>
          <w:color w:val="auto"/>
          <w:spacing w:val="0"/>
          <w:sz w:val="32"/>
          <w:szCs w:val="32"/>
          <w:highlight w:val="none"/>
        </w:rPr>
      </w:pPr>
    </w:p>
    <w:p>
      <w:pPr>
        <w:keepNext w:val="0"/>
        <w:keepLines w:val="0"/>
        <w:pageBreakBefore w:val="0"/>
        <w:widowControl w:val="0"/>
        <w:kinsoku/>
        <w:wordWrap/>
        <w:overflowPunct/>
        <w:topLinePunct w:val="0"/>
        <w:bidi w:val="0"/>
        <w:adjustRightInd w:val="0"/>
        <w:snapToGrid w:val="0"/>
        <w:spacing w:line="580" w:lineRule="atLeast"/>
        <w:ind w:right="0" w:rightChars="0" w:firstLine="0" w:firstLineChars="0"/>
        <w:jc w:val="center"/>
        <w:textAlignment w:val="auto"/>
        <w:rPr>
          <w:rFonts w:ascii="黑体" w:hAnsi="黑体" w:eastAsia="黑体" w:cs="仿宋_GB2312"/>
          <w:b w:val="0"/>
          <w:color w:val="auto"/>
          <w:spacing w:val="0"/>
          <w:kern w:val="2"/>
          <w:sz w:val="32"/>
          <w:szCs w:val="32"/>
          <w:highlight w:val="none"/>
          <w:lang w:val="en-US" w:eastAsia="zh-CN" w:bidi="ar-SA"/>
        </w:rPr>
      </w:pPr>
      <w:r>
        <w:rPr>
          <w:rFonts w:hint="eastAsia" w:ascii="黑体" w:hAnsi="黑体" w:eastAsia="黑体" w:cs="仿宋_GB2312"/>
          <w:b w:val="0"/>
          <w:bCs/>
          <w:color w:val="auto"/>
          <w:spacing w:val="0"/>
          <w:kern w:val="2"/>
          <w:sz w:val="32"/>
          <w:szCs w:val="32"/>
          <w:highlight w:val="none"/>
          <w:lang w:val="en-US" w:eastAsia="zh-CN" w:bidi="ar-SA"/>
        </w:rPr>
        <w:t>第七章 监督</w:t>
      </w:r>
      <w:r>
        <w:rPr>
          <w:rFonts w:ascii="黑体" w:hAnsi="黑体" w:eastAsia="黑体" w:cs="仿宋_GB2312"/>
          <w:b w:val="0"/>
          <w:bCs/>
          <w:color w:val="auto"/>
          <w:spacing w:val="0"/>
          <w:kern w:val="2"/>
          <w:sz w:val="32"/>
          <w:szCs w:val="32"/>
          <w:highlight w:val="none"/>
          <w:lang w:val="en-US" w:eastAsia="zh-CN" w:bidi="ar-SA"/>
        </w:rPr>
        <w:t>管理</w:t>
      </w:r>
    </w:p>
    <w:p>
      <w:pPr>
        <w:keepNext w:val="0"/>
        <w:keepLines w:val="0"/>
        <w:pageBreakBefore w:val="0"/>
        <w:widowControl w:val="0"/>
        <w:kinsoku/>
        <w:wordWrap/>
        <w:overflowPunct/>
        <w:topLinePunct w:val="0"/>
        <w:bidi w:val="0"/>
        <w:adjustRightInd w:val="0"/>
        <w:snapToGrid w:val="0"/>
        <w:spacing w:line="580" w:lineRule="atLeast"/>
        <w:ind w:right="0" w:rightChars="0" w:firstLine="642" w:firstLineChars="200"/>
        <w:textAlignment w:val="auto"/>
        <w:rPr>
          <w:rFonts w:hint="eastAsia" w:ascii="仿宋_GB2312" w:hAnsi="Times New Roman" w:eastAsia="仿宋_GB2312"/>
          <w:color w:val="auto"/>
          <w:spacing w:val="0"/>
          <w:sz w:val="32"/>
          <w:szCs w:val="32"/>
          <w:highlight w:val="none"/>
          <w:shd w:val="clear" w:color="auto" w:fill="FFFFFF"/>
        </w:rPr>
      </w:pPr>
      <w:r>
        <w:rPr>
          <w:rFonts w:hint="eastAsia" w:ascii="仿宋_GB2312" w:hAnsi="Times New Roman" w:eastAsia="仿宋_GB2312"/>
          <w:b/>
          <w:bCs/>
          <w:color w:val="auto"/>
          <w:spacing w:val="0"/>
          <w:sz w:val="32"/>
          <w:szCs w:val="32"/>
          <w:highlight w:val="none"/>
          <w:shd w:val="clear" w:color="auto" w:fill="FFFFFF"/>
        </w:rPr>
        <w:t xml:space="preserve">第三十条  </w:t>
      </w:r>
      <w:r>
        <w:rPr>
          <w:rFonts w:hint="eastAsia" w:ascii="仿宋_GB2312" w:hAnsi="Times New Roman" w:eastAsia="仿宋_GB2312"/>
          <w:color w:val="auto"/>
          <w:spacing w:val="0"/>
          <w:sz w:val="32"/>
          <w:szCs w:val="32"/>
          <w:highlight w:val="none"/>
          <w:shd w:val="clear" w:color="auto" w:fill="FFFFFF"/>
        </w:rPr>
        <w:t>定点</w:t>
      </w:r>
      <w:r>
        <w:rPr>
          <w:rFonts w:hint="eastAsia" w:ascii="仿宋_GB2312" w:hAnsi="Times New Roman" w:eastAsia="仿宋_GB2312"/>
          <w:color w:val="auto"/>
          <w:spacing w:val="0"/>
          <w:sz w:val="32"/>
          <w:szCs w:val="32"/>
          <w:highlight w:val="none"/>
          <w:shd w:val="clear" w:color="auto" w:fill="FFFFFF"/>
          <w:lang w:eastAsia="zh-CN"/>
        </w:rPr>
        <w:t>医疗</w:t>
      </w:r>
      <w:r>
        <w:rPr>
          <w:rFonts w:hint="eastAsia" w:ascii="仿宋_GB2312" w:hAnsi="Times New Roman" w:eastAsia="仿宋_GB2312"/>
          <w:color w:val="auto"/>
          <w:spacing w:val="0"/>
          <w:sz w:val="32"/>
          <w:szCs w:val="32"/>
          <w:highlight w:val="none"/>
          <w:shd w:val="clear" w:color="auto" w:fill="FFFFFF"/>
        </w:rPr>
        <w:t>机构应严格执行门诊共济保障政策和服务协议规定，完善内部管理制度，医保医师要严格认定、合理诊疗、科学施治，严禁超剂量、超范围调剂处方。定点</w:t>
      </w:r>
      <w:r>
        <w:rPr>
          <w:rFonts w:hint="eastAsia" w:ascii="仿宋_GB2312" w:hAnsi="Times New Roman" w:eastAsia="仿宋_GB2312"/>
          <w:color w:val="auto"/>
          <w:spacing w:val="0"/>
          <w:sz w:val="32"/>
          <w:szCs w:val="32"/>
          <w:highlight w:val="none"/>
          <w:shd w:val="clear" w:color="auto" w:fill="FFFFFF"/>
          <w:lang w:eastAsia="zh-CN"/>
        </w:rPr>
        <w:t>医疗</w:t>
      </w:r>
      <w:r>
        <w:rPr>
          <w:rFonts w:hint="eastAsia" w:ascii="仿宋_GB2312" w:hAnsi="Times New Roman" w:eastAsia="仿宋_GB2312"/>
          <w:color w:val="auto"/>
          <w:spacing w:val="0"/>
          <w:sz w:val="32"/>
          <w:szCs w:val="32"/>
          <w:highlight w:val="none"/>
          <w:shd w:val="clear" w:color="auto" w:fill="FFFFFF"/>
        </w:rPr>
        <w:t>机构违规确定门诊慢特病保障资格和批准最高支付限额的，依照协议和相关法律追究协议</w:t>
      </w:r>
      <w:r>
        <w:rPr>
          <w:rFonts w:hint="eastAsia" w:ascii="仿宋_GB2312" w:hAnsi="Times New Roman" w:eastAsia="仿宋_GB2312"/>
          <w:color w:val="auto"/>
          <w:spacing w:val="0"/>
          <w:sz w:val="32"/>
          <w:szCs w:val="32"/>
          <w:highlight w:val="none"/>
          <w:shd w:val="clear" w:color="auto" w:fill="FFFFFF"/>
          <w:lang w:eastAsia="zh-CN"/>
        </w:rPr>
        <w:t>医疗</w:t>
      </w:r>
      <w:r>
        <w:rPr>
          <w:rFonts w:hint="eastAsia" w:ascii="仿宋_GB2312" w:hAnsi="Times New Roman" w:eastAsia="仿宋_GB2312"/>
          <w:color w:val="auto"/>
          <w:spacing w:val="0"/>
          <w:sz w:val="32"/>
          <w:szCs w:val="32"/>
          <w:highlight w:val="none"/>
          <w:shd w:val="clear" w:color="auto" w:fill="FFFFFF"/>
        </w:rPr>
        <w:t>机构及其主要负责人和相关医保医师的责任。</w:t>
      </w:r>
    </w:p>
    <w:p>
      <w:pPr>
        <w:keepNext w:val="0"/>
        <w:keepLines w:val="0"/>
        <w:pageBreakBefore w:val="0"/>
        <w:widowControl w:val="0"/>
        <w:kinsoku/>
        <w:wordWrap/>
        <w:overflowPunct/>
        <w:topLinePunct w:val="0"/>
        <w:bidi w:val="0"/>
        <w:adjustRightInd w:val="0"/>
        <w:snapToGrid w:val="0"/>
        <w:spacing w:line="580" w:lineRule="atLeast"/>
        <w:ind w:right="0" w:rightChars="0" w:firstLine="642" w:firstLineChars="200"/>
        <w:textAlignment w:val="auto"/>
        <w:rPr>
          <w:rFonts w:hint="eastAsia" w:ascii="仿宋_GB2312" w:hAnsi="仿宋" w:eastAsia="仿宋_GB2312"/>
          <w:strike/>
          <w:color w:val="auto"/>
          <w:spacing w:val="0"/>
          <w:sz w:val="32"/>
          <w:highlight w:val="none"/>
        </w:rPr>
      </w:pPr>
      <w:r>
        <w:rPr>
          <w:rFonts w:hint="eastAsia" w:ascii="仿宋_GB2312" w:hAnsi="Times New Roman" w:eastAsia="仿宋_GB2312"/>
          <w:b/>
          <w:bCs/>
          <w:color w:val="auto"/>
          <w:spacing w:val="0"/>
          <w:sz w:val="32"/>
          <w:szCs w:val="32"/>
          <w:highlight w:val="none"/>
          <w:shd w:val="clear" w:color="auto" w:fill="FFFFFF"/>
        </w:rPr>
        <w:t xml:space="preserve">第三十一条  </w:t>
      </w:r>
      <w:r>
        <w:rPr>
          <w:rFonts w:hint="eastAsia" w:ascii="仿宋_GB2312" w:hAnsi="Times New Roman" w:eastAsia="仿宋_GB2312"/>
          <w:color w:val="auto"/>
          <w:spacing w:val="0"/>
          <w:sz w:val="32"/>
          <w:szCs w:val="32"/>
          <w:highlight w:val="none"/>
          <w:shd w:val="clear" w:color="auto" w:fill="FFFFFF"/>
        </w:rPr>
        <w:t>医疗保障行政部门和医疗保险经办机构依据医疗保障政策规定及医保服务协议相关约定，</w:t>
      </w:r>
      <w:r>
        <w:rPr>
          <w:rFonts w:hint="eastAsia" w:ascii="仿宋_GB2312" w:hAnsi="Times New Roman" w:eastAsia="仿宋_GB2312"/>
          <w:color w:val="auto"/>
          <w:spacing w:val="0"/>
          <w:sz w:val="32"/>
          <w:szCs w:val="32"/>
          <w:highlight w:val="none"/>
          <w:shd w:val="clear" w:color="auto" w:fill="FFFFFF"/>
          <w:lang w:val="en-US" w:eastAsia="zh-CN"/>
        </w:rPr>
        <w:t>将</w:t>
      </w:r>
      <w:r>
        <w:rPr>
          <w:rFonts w:hint="eastAsia" w:ascii="仿宋_GB2312" w:hAnsi="Times New Roman" w:eastAsia="仿宋_GB2312"/>
          <w:color w:val="auto"/>
          <w:spacing w:val="0"/>
          <w:sz w:val="32"/>
          <w:szCs w:val="32"/>
          <w:highlight w:val="none"/>
          <w:shd w:val="clear" w:color="auto" w:fill="FFFFFF"/>
        </w:rPr>
        <w:t>定点</w:t>
      </w:r>
      <w:r>
        <w:rPr>
          <w:rFonts w:hint="eastAsia" w:ascii="仿宋_GB2312" w:hAnsi="Times New Roman" w:eastAsia="仿宋_GB2312"/>
          <w:color w:val="auto"/>
          <w:spacing w:val="0"/>
          <w:sz w:val="32"/>
          <w:szCs w:val="32"/>
          <w:highlight w:val="none"/>
          <w:shd w:val="clear" w:color="auto" w:fill="FFFFFF"/>
          <w:lang w:eastAsia="zh-CN"/>
        </w:rPr>
        <w:t>医疗</w:t>
      </w:r>
      <w:r>
        <w:rPr>
          <w:rFonts w:hint="eastAsia" w:ascii="仿宋_GB2312" w:hAnsi="Times New Roman" w:eastAsia="仿宋_GB2312"/>
          <w:color w:val="auto"/>
          <w:spacing w:val="0"/>
          <w:sz w:val="32"/>
          <w:szCs w:val="32"/>
          <w:highlight w:val="none"/>
          <w:shd w:val="clear" w:color="auto" w:fill="FFFFFF"/>
        </w:rPr>
        <w:t>机构普通门诊统筹保障、门诊慢特病保障工作和服务质量</w:t>
      </w:r>
      <w:r>
        <w:rPr>
          <w:rFonts w:hint="eastAsia" w:ascii="仿宋_GB2312" w:hAnsi="Times New Roman" w:eastAsia="仿宋_GB2312"/>
          <w:color w:val="auto"/>
          <w:spacing w:val="0"/>
          <w:sz w:val="32"/>
          <w:szCs w:val="32"/>
          <w:highlight w:val="none"/>
          <w:shd w:val="clear" w:color="auto" w:fill="FFFFFF"/>
          <w:lang w:val="en-US" w:eastAsia="zh-CN"/>
        </w:rPr>
        <w:t>纳入</w:t>
      </w:r>
      <w:r>
        <w:rPr>
          <w:rFonts w:hint="eastAsia" w:ascii="仿宋_GB2312" w:hAnsi="Times New Roman" w:eastAsia="仿宋_GB2312"/>
          <w:color w:val="auto"/>
          <w:spacing w:val="0"/>
          <w:sz w:val="32"/>
          <w:szCs w:val="32"/>
          <w:highlight w:val="none"/>
          <w:shd w:val="clear" w:color="auto" w:fill="FFFFFF"/>
        </w:rPr>
        <w:t>年度考核，考核结果与年度基金清算挂钩。</w:t>
      </w:r>
    </w:p>
    <w:p>
      <w:pPr>
        <w:keepNext w:val="0"/>
        <w:keepLines w:val="0"/>
        <w:pageBreakBefore w:val="0"/>
        <w:widowControl w:val="0"/>
        <w:kinsoku/>
        <w:wordWrap/>
        <w:overflowPunct/>
        <w:topLinePunct w:val="0"/>
        <w:bidi w:val="0"/>
        <w:adjustRightInd w:val="0"/>
        <w:snapToGrid w:val="0"/>
        <w:spacing w:line="580" w:lineRule="atLeast"/>
        <w:ind w:right="0" w:rightChars="0" w:firstLine="642" w:firstLineChars="200"/>
        <w:textAlignment w:val="auto"/>
        <w:rPr>
          <w:rFonts w:hint="eastAsia" w:ascii="仿宋_GB2312" w:hAnsi="Times New Roman" w:eastAsia="仿宋_GB2312"/>
          <w:bCs/>
          <w:color w:val="auto"/>
          <w:spacing w:val="0"/>
          <w:sz w:val="32"/>
          <w:szCs w:val="32"/>
          <w:highlight w:val="none"/>
          <w:shd w:val="clear" w:color="auto" w:fill="FFFFFF"/>
        </w:rPr>
      </w:pPr>
      <w:r>
        <w:rPr>
          <w:rFonts w:hint="eastAsia" w:ascii="仿宋_GB2312" w:hAnsi="Times New Roman" w:eastAsia="仿宋_GB2312"/>
          <w:b/>
          <w:bCs/>
          <w:color w:val="auto"/>
          <w:spacing w:val="0"/>
          <w:sz w:val="32"/>
          <w:szCs w:val="32"/>
          <w:highlight w:val="none"/>
          <w:shd w:val="clear" w:color="auto" w:fill="FFFFFF"/>
        </w:rPr>
        <w:t xml:space="preserve">第三十二条 </w:t>
      </w:r>
      <w:r>
        <w:rPr>
          <w:rFonts w:hint="eastAsia" w:ascii="仿宋_GB2312" w:hAnsi="Times New Roman" w:eastAsia="仿宋_GB2312"/>
          <w:color w:val="auto"/>
          <w:spacing w:val="0"/>
          <w:sz w:val="32"/>
          <w:szCs w:val="32"/>
          <w:highlight w:val="none"/>
          <w:shd w:val="clear" w:color="auto" w:fill="FFFFFF"/>
        </w:rPr>
        <w:t xml:space="preserve"> </w:t>
      </w:r>
      <w:r>
        <w:rPr>
          <w:rFonts w:hint="eastAsia" w:ascii="方正仿宋_GB2312" w:hAnsi="方正仿宋_GB2312" w:eastAsia="方正仿宋_GB2312" w:cs="方正仿宋_GB2312"/>
          <w:bCs/>
          <w:color w:val="auto"/>
          <w:spacing w:val="0"/>
          <w:sz w:val="32"/>
          <w:szCs w:val="32"/>
          <w:highlight w:val="none"/>
        </w:rPr>
        <w:t>定点</w:t>
      </w:r>
      <w:r>
        <w:rPr>
          <w:rFonts w:hint="eastAsia" w:ascii="方正仿宋_GB2312" w:hAnsi="方正仿宋_GB2312" w:eastAsia="方正仿宋_GB2312" w:cs="方正仿宋_GB2312"/>
          <w:bCs/>
          <w:color w:val="auto"/>
          <w:spacing w:val="0"/>
          <w:sz w:val="32"/>
          <w:szCs w:val="32"/>
          <w:highlight w:val="none"/>
          <w:lang w:eastAsia="zh-CN"/>
        </w:rPr>
        <w:t>医疗</w:t>
      </w:r>
      <w:r>
        <w:rPr>
          <w:rFonts w:hint="eastAsia" w:ascii="方正仿宋_GB2312" w:hAnsi="方正仿宋_GB2312" w:eastAsia="方正仿宋_GB2312" w:cs="方正仿宋_GB2312"/>
          <w:bCs/>
          <w:color w:val="auto"/>
          <w:spacing w:val="0"/>
          <w:sz w:val="32"/>
          <w:szCs w:val="32"/>
          <w:highlight w:val="none"/>
        </w:rPr>
        <w:t>机构应当按处方管理办法规定为门诊患者建立并妥善保存处方、购药记录等信息，做到诊疗、处方、交易、配送可追溯、可监管。</w:t>
      </w:r>
      <w:r>
        <w:rPr>
          <w:rFonts w:hint="eastAsia" w:ascii="仿宋_GB2312" w:hAnsi="Times New Roman" w:eastAsia="仿宋_GB2312"/>
          <w:bCs/>
          <w:color w:val="auto"/>
          <w:spacing w:val="0"/>
          <w:sz w:val="32"/>
          <w:szCs w:val="32"/>
          <w:highlight w:val="none"/>
          <w:shd w:val="clear" w:color="auto" w:fill="FFFFFF"/>
        </w:rPr>
        <w:t>医疗保障部门通过智能监控、日常巡查、专项检查、飞行检查等方式，对基本医保定点</w:t>
      </w:r>
      <w:r>
        <w:rPr>
          <w:rFonts w:hint="eastAsia" w:ascii="仿宋_GB2312" w:hAnsi="Times New Roman" w:eastAsia="仿宋_GB2312"/>
          <w:bCs/>
          <w:color w:val="auto"/>
          <w:spacing w:val="0"/>
          <w:sz w:val="32"/>
          <w:szCs w:val="32"/>
          <w:highlight w:val="none"/>
          <w:shd w:val="clear" w:color="auto" w:fill="FFFFFF"/>
          <w:lang w:eastAsia="zh-CN"/>
        </w:rPr>
        <w:t>医疗</w:t>
      </w:r>
      <w:r>
        <w:rPr>
          <w:rFonts w:hint="eastAsia" w:ascii="仿宋_GB2312" w:hAnsi="Times New Roman" w:eastAsia="仿宋_GB2312"/>
          <w:bCs/>
          <w:color w:val="auto"/>
          <w:spacing w:val="0"/>
          <w:sz w:val="32"/>
          <w:szCs w:val="32"/>
          <w:highlight w:val="none"/>
          <w:shd w:val="clear" w:color="auto" w:fill="FFFFFF"/>
        </w:rPr>
        <w:t>机构门诊共济保障政策执行和基金使用情况进行监督检查。</w:t>
      </w:r>
    </w:p>
    <w:p>
      <w:pPr>
        <w:keepNext w:val="0"/>
        <w:keepLines w:val="0"/>
        <w:pageBreakBefore w:val="0"/>
        <w:widowControl w:val="0"/>
        <w:kinsoku/>
        <w:wordWrap/>
        <w:overflowPunct/>
        <w:topLinePunct w:val="0"/>
        <w:bidi w:val="0"/>
        <w:adjustRightInd w:val="0"/>
        <w:snapToGrid w:val="0"/>
        <w:spacing w:line="580" w:lineRule="atLeast"/>
        <w:ind w:right="0" w:rightChars="0" w:firstLine="642" w:firstLineChars="200"/>
        <w:textAlignment w:val="auto"/>
        <w:rPr>
          <w:rFonts w:hint="eastAsia" w:ascii="黑体" w:hAnsi="黑体" w:eastAsia="黑体" w:cs="仿宋_GB2312"/>
          <w:b w:val="0"/>
          <w:color w:val="auto"/>
          <w:spacing w:val="0"/>
          <w:sz w:val="32"/>
          <w:szCs w:val="32"/>
          <w:highlight w:val="none"/>
        </w:rPr>
      </w:pPr>
      <w:r>
        <w:rPr>
          <w:rFonts w:hint="eastAsia" w:ascii="仿宋_GB2312" w:hAnsi="Times New Roman" w:eastAsia="仿宋_GB2312"/>
          <w:b/>
          <w:color w:val="auto"/>
          <w:spacing w:val="0"/>
          <w:sz w:val="32"/>
          <w:szCs w:val="32"/>
          <w:highlight w:val="none"/>
          <w:shd w:val="clear" w:color="auto" w:fill="FFFFFF"/>
        </w:rPr>
        <w:t>第三十三条</w:t>
      </w:r>
      <w:r>
        <w:rPr>
          <w:rFonts w:hint="eastAsia" w:ascii="仿宋_GB2312" w:hAnsi="Times New Roman" w:eastAsia="仿宋_GB2312"/>
          <w:bCs/>
          <w:color w:val="auto"/>
          <w:spacing w:val="0"/>
          <w:sz w:val="32"/>
          <w:szCs w:val="32"/>
          <w:highlight w:val="none"/>
          <w:shd w:val="clear" w:color="auto" w:fill="FFFFFF"/>
        </w:rPr>
        <w:t xml:space="preserve">  各级医疗保障部门对伪造、变造、隐匿、涂改医疗文书、医学证明、会计凭证、电子信息及虚构</w:t>
      </w:r>
      <w:r>
        <w:rPr>
          <w:rFonts w:hint="eastAsia" w:ascii="仿宋_GB2312" w:hAnsi="Times New Roman" w:eastAsia="仿宋_GB2312"/>
          <w:bCs/>
          <w:color w:val="auto"/>
          <w:spacing w:val="0"/>
          <w:sz w:val="32"/>
          <w:szCs w:val="32"/>
          <w:highlight w:val="none"/>
          <w:shd w:val="clear" w:color="auto" w:fill="FFFFFF"/>
          <w:lang w:eastAsia="zh-CN"/>
        </w:rPr>
        <w:t>医疗</w:t>
      </w:r>
      <w:r>
        <w:rPr>
          <w:rFonts w:hint="eastAsia" w:ascii="仿宋_GB2312" w:hAnsi="Times New Roman" w:eastAsia="仿宋_GB2312"/>
          <w:bCs/>
          <w:color w:val="auto"/>
          <w:spacing w:val="0"/>
          <w:sz w:val="32"/>
          <w:szCs w:val="32"/>
          <w:highlight w:val="none"/>
          <w:shd w:val="clear" w:color="auto" w:fill="FFFFFF"/>
        </w:rPr>
        <w:t>服务，违反诊疗规范过度诊疗、不合理检查、不合理用药、</w:t>
      </w:r>
      <w:r>
        <w:rPr>
          <w:rFonts w:hint="default" w:ascii="仿宋_GB2312" w:hAnsi="Times New Roman" w:eastAsia="仿宋_GB2312"/>
          <w:bCs/>
          <w:color w:val="auto"/>
          <w:spacing w:val="0"/>
          <w:sz w:val="32"/>
          <w:szCs w:val="32"/>
          <w:highlight w:val="none"/>
          <w:shd w:val="clear" w:color="auto" w:fill="FFFFFF"/>
        </w:rPr>
        <w:t>超量开药、重复开药、</w:t>
      </w:r>
      <w:r>
        <w:rPr>
          <w:rFonts w:hint="eastAsia" w:ascii="仿宋_GB2312" w:hAnsi="Times New Roman" w:eastAsia="仿宋_GB2312"/>
          <w:bCs/>
          <w:color w:val="auto"/>
          <w:spacing w:val="0"/>
          <w:sz w:val="32"/>
          <w:szCs w:val="32"/>
          <w:highlight w:val="none"/>
          <w:shd w:val="clear" w:color="auto" w:fill="FFFFFF"/>
        </w:rPr>
        <w:t>重复收费、分解项目收费、串换项目收费、为参保人倒卖转卖药品提供便利等违法违规使用和骗取医保基金的行为，按照医疗保障法律法规、部门规章的规定和医保协议约定，追回违法违规医保基金，并</w:t>
      </w:r>
      <w:r>
        <w:rPr>
          <w:rFonts w:hint="eastAsia" w:ascii="仿宋_GB2312" w:hAnsi="Times New Roman" w:eastAsia="仿宋_GB2312"/>
          <w:bCs/>
          <w:color w:val="auto"/>
          <w:spacing w:val="0"/>
          <w:sz w:val="32"/>
          <w:szCs w:val="32"/>
          <w:highlight w:val="none"/>
          <w:shd w:val="clear" w:color="auto" w:fill="FFFFFF"/>
          <w:lang w:eastAsia="zh-CN"/>
        </w:rPr>
        <w:t>依规</w:t>
      </w:r>
      <w:r>
        <w:rPr>
          <w:rFonts w:hint="eastAsia" w:ascii="仿宋_GB2312" w:hAnsi="Times New Roman" w:eastAsia="仿宋_GB2312"/>
          <w:bCs/>
          <w:color w:val="auto"/>
          <w:spacing w:val="0"/>
          <w:sz w:val="32"/>
          <w:szCs w:val="32"/>
          <w:highlight w:val="none"/>
          <w:shd w:val="clear" w:color="auto" w:fill="FFFFFF"/>
        </w:rPr>
        <w:t>给予行政处罚。在案件查处过程中发现违法行为涉嫌构成犯罪的，应当依法向公安机关移送；发现公职人员涉嫌构成职务犯罪的，应当依法及时将案件线索移送</w:t>
      </w:r>
      <w:r>
        <w:rPr>
          <w:rFonts w:hint="eastAsia" w:ascii="仿宋_GB2312" w:hAnsi="Times New Roman" w:eastAsia="仿宋_GB2312"/>
          <w:bCs/>
          <w:color w:val="auto"/>
          <w:spacing w:val="0"/>
          <w:sz w:val="32"/>
          <w:szCs w:val="32"/>
          <w:highlight w:val="none"/>
          <w:shd w:val="clear" w:color="auto" w:fill="FFFFFF"/>
          <w:lang w:eastAsia="zh-CN"/>
        </w:rPr>
        <w:t>纪检</w:t>
      </w:r>
      <w:r>
        <w:rPr>
          <w:rFonts w:hint="eastAsia" w:ascii="仿宋_GB2312" w:hAnsi="Times New Roman" w:eastAsia="仿宋_GB2312"/>
          <w:bCs/>
          <w:color w:val="auto"/>
          <w:spacing w:val="0"/>
          <w:sz w:val="32"/>
          <w:szCs w:val="32"/>
          <w:highlight w:val="none"/>
          <w:shd w:val="clear" w:color="auto" w:fill="FFFFFF"/>
        </w:rPr>
        <w:t>监察机关处理。</w:t>
      </w:r>
    </w:p>
    <w:p>
      <w:pPr>
        <w:keepNext w:val="0"/>
        <w:keepLines w:val="0"/>
        <w:pageBreakBefore w:val="0"/>
        <w:widowControl w:val="0"/>
        <w:kinsoku/>
        <w:wordWrap/>
        <w:overflowPunct/>
        <w:topLinePunct w:val="0"/>
        <w:bidi w:val="0"/>
        <w:adjustRightInd w:val="0"/>
        <w:snapToGrid w:val="0"/>
        <w:spacing w:line="580" w:lineRule="atLeast"/>
        <w:ind w:right="0" w:rightChars="0" w:firstLine="0" w:firstLineChars="0"/>
        <w:jc w:val="center"/>
        <w:textAlignment w:val="auto"/>
        <w:rPr>
          <w:rFonts w:hint="eastAsia" w:ascii="黑体" w:hAnsi="黑体" w:eastAsia="黑体" w:cs="仿宋_GB2312"/>
          <w:b w:val="0"/>
          <w:color w:val="auto"/>
          <w:spacing w:val="0"/>
          <w:kern w:val="2"/>
          <w:sz w:val="32"/>
          <w:szCs w:val="32"/>
          <w:highlight w:val="none"/>
          <w:lang w:val="en-US" w:eastAsia="zh-CN" w:bidi="ar-SA"/>
        </w:rPr>
      </w:pPr>
    </w:p>
    <w:p>
      <w:pPr>
        <w:keepNext w:val="0"/>
        <w:keepLines w:val="0"/>
        <w:pageBreakBefore w:val="0"/>
        <w:widowControl w:val="0"/>
        <w:kinsoku/>
        <w:wordWrap/>
        <w:overflowPunct/>
        <w:topLinePunct w:val="0"/>
        <w:bidi w:val="0"/>
        <w:adjustRightInd w:val="0"/>
        <w:snapToGrid w:val="0"/>
        <w:spacing w:line="580" w:lineRule="atLeast"/>
        <w:ind w:right="0" w:rightChars="0" w:firstLine="0" w:firstLineChars="0"/>
        <w:jc w:val="center"/>
        <w:textAlignment w:val="auto"/>
        <w:rPr>
          <w:rFonts w:hint="eastAsia" w:ascii="仿宋_GB2312" w:hAnsi="仿宋_GB2312" w:eastAsia="仿宋_GB2312" w:cs="仿宋_GB2312"/>
          <w:color w:val="auto"/>
          <w:spacing w:val="0"/>
          <w:kern w:val="2"/>
          <w:sz w:val="32"/>
          <w:szCs w:val="32"/>
          <w:highlight w:val="none"/>
          <w:lang w:val="en-US" w:eastAsia="zh-CN" w:bidi="ar-SA"/>
        </w:rPr>
      </w:pPr>
      <w:r>
        <w:rPr>
          <w:rFonts w:hint="eastAsia" w:ascii="黑体" w:hAnsi="黑体" w:eastAsia="黑体" w:cs="仿宋_GB2312"/>
          <w:b w:val="0"/>
          <w:bCs/>
          <w:color w:val="auto"/>
          <w:spacing w:val="0"/>
          <w:kern w:val="2"/>
          <w:sz w:val="32"/>
          <w:szCs w:val="32"/>
          <w:highlight w:val="none"/>
          <w:lang w:val="en-US" w:eastAsia="zh-CN" w:bidi="ar-SA"/>
        </w:rPr>
        <w:t>第八章 附则</w:t>
      </w:r>
    </w:p>
    <w:p>
      <w:pPr>
        <w:keepNext w:val="0"/>
        <w:keepLines w:val="0"/>
        <w:pageBreakBefore w:val="0"/>
        <w:widowControl w:val="0"/>
        <w:kinsoku/>
        <w:wordWrap/>
        <w:overflowPunct/>
        <w:topLinePunct w:val="0"/>
        <w:bidi w:val="0"/>
        <w:adjustRightInd w:val="0"/>
        <w:snapToGrid w:val="0"/>
        <w:spacing w:line="580" w:lineRule="atLeast"/>
        <w:ind w:right="0" w:rightChars="0" w:firstLine="642" w:firstLineChars="200"/>
        <w:textAlignment w:val="auto"/>
        <w:rPr>
          <w:rFonts w:hint="eastAsia" w:ascii="仿宋_GB2312" w:hAnsi="Times New Roman" w:eastAsia="仿宋_GB2312"/>
          <w:color w:val="auto"/>
          <w:spacing w:val="0"/>
          <w:sz w:val="32"/>
          <w:szCs w:val="32"/>
          <w:highlight w:val="none"/>
          <w:shd w:val="clear" w:color="auto" w:fill="FFFFFF"/>
        </w:rPr>
      </w:pPr>
      <w:r>
        <w:rPr>
          <w:rFonts w:hint="eastAsia" w:ascii="仿宋_GB2312" w:hAnsi="Times New Roman" w:eastAsia="仿宋_GB2312"/>
          <w:b/>
          <w:color w:val="auto"/>
          <w:spacing w:val="0"/>
          <w:sz w:val="32"/>
          <w:szCs w:val="32"/>
          <w:highlight w:val="none"/>
          <w:shd w:val="clear" w:color="auto" w:fill="FFFFFF"/>
        </w:rPr>
        <w:t xml:space="preserve">第三十四条 </w:t>
      </w:r>
      <w:r>
        <w:rPr>
          <w:rFonts w:hint="eastAsia" w:ascii="仿宋_GB2312" w:hAnsi="Times New Roman" w:eastAsia="仿宋_GB2312"/>
          <w:b/>
          <w:color w:val="auto"/>
          <w:spacing w:val="0"/>
          <w:sz w:val="32"/>
          <w:szCs w:val="32"/>
          <w:highlight w:val="none"/>
          <w:shd w:val="clear" w:color="auto" w:fill="FFFFFF"/>
          <w:lang w:val="en-US" w:eastAsia="zh-CN"/>
        </w:rPr>
        <w:t xml:space="preserve"> </w:t>
      </w:r>
      <w:r>
        <w:rPr>
          <w:rFonts w:hint="eastAsia" w:ascii="仿宋_GB2312" w:hAnsi="Times New Roman" w:eastAsia="仿宋_GB2312"/>
          <w:color w:val="auto"/>
          <w:spacing w:val="0"/>
          <w:sz w:val="32"/>
          <w:szCs w:val="32"/>
          <w:highlight w:val="none"/>
          <w:shd w:val="clear" w:color="auto" w:fill="FFFFFF"/>
        </w:rPr>
        <w:t>本办法由自治区医疗保障局、财政厅</w:t>
      </w:r>
      <w:r>
        <w:rPr>
          <w:rFonts w:hint="eastAsia" w:ascii="仿宋_GB2312" w:hAnsi="Times New Roman" w:eastAsia="仿宋_GB2312"/>
          <w:color w:val="auto"/>
          <w:spacing w:val="0"/>
          <w:sz w:val="32"/>
          <w:szCs w:val="32"/>
          <w:highlight w:val="none"/>
          <w:shd w:val="clear" w:color="auto" w:fill="FFFFFF"/>
          <w:lang w:eastAsia="zh-CN"/>
        </w:rPr>
        <w:t>、</w:t>
      </w:r>
      <w:r>
        <w:rPr>
          <w:rFonts w:hint="eastAsia" w:ascii="仿宋_GB2312" w:hAnsi="Times New Roman" w:eastAsia="仿宋_GB2312"/>
          <w:color w:val="auto"/>
          <w:spacing w:val="0"/>
          <w:sz w:val="32"/>
          <w:szCs w:val="32"/>
          <w:highlight w:val="none"/>
          <w:shd w:val="clear" w:color="auto" w:fill="FFFFFF"/>
          <w:lang w:val="en-US" w:eastAsia="zh-CN"/>
        </w:rPr>
        <w:t>卫生健康委共同</w:t>
      </w:r>
      <w:r>
        <w:rPr>
          <w:rFonts w:hint="eastAsia" w:ascii="仿宋_GB2312" w:hAnsi="Times New Roman" w:eastAsia="仿宋_GB2312"/>
          <w:color w:val="auto"/>
          <w:spacing w:val="0"/>
          <w:sz w:val="32"/>
          <w:szCs w:val="32"/>
          <w:highlight w:val="none"/>
          <w:shd w:val="clear" w:color="auto" w:fill="FFFFFF"/>
        </w:rPr>
        <w:t>负责解释。</w:t>
      </w:r>
    </w:p>
    <w:p>
      <w:pPr>
        <w:keepNext w:val="0"/>
        <w:keepLines w:val="0"/>
        <w:pageBreakBefore w:val="0"/>
        <w:widowControl w:val="0"/>
        <w:kinsoku/>
        <w:wordWrap/>
        <w:overflowPunct/>
        <w:topLinePunct w:val="0"/>
        <w:autoSpaceDE/>
        <w:autoSpaceDN/>
        <w:bidi w:val="0"/>
        <w:adjustRightInd w:val="0"/>
        <w:snapToGrid w:val="0"/>
        <w:spacing w:line="580" w:lineRule="atLeast"/>
        <w:ind w:right="0" w:rightChars="0" w:firstLine="642" w:firstLineChars="200"/>
        <w:jc w:val="left"/>
        <w:textAlignment w:val="auto"/>
        <w:rPr>
          <w:rFonts w:hint="eastAsia" w:ascii="仿宋_GB2312" w:hAnsi="Times New Roman" w:eastAsia="仿宋_GB2312" w:cs="Times New Roman"/>
          <w:i w:val="0"/>
          <w:iCs w:val="0"/>
          <w:caps w:val="0"/>
          <w:color w:val="auto"/>
          <w:spacing w:val="0"/>
          <w:kern w:val="2"/>
          <w:sz w:val="32"/>
          <w:szCs w:val="32"/>
          <w:highlight w:val="none"/>
          <w:shd w:val="clear" w:color="auto" w:fill="auto"/>
          <w:lang w:val="en-US" w:eastAsia="zh-CN" w:bidi="ar-SA"/>
        </w:rPr>
      </w:pPr>
      <w:r>
        <w:rPr>
          <w:rFonts w:hint="eastAsia" w:ascii="仿宋_GB2312" w:hAnsi="Times New Roman" w:eastAsia="仿宋_GB2312" w:cs="Times New Roman"/>
          <w:b/>
          <w:bCs/>
          <w:color w:val="auto"/>
          <w:spacing w:val="0"/>
          <w:kern w:val="2"/>
          <w:sz w:val="32"/>
          <w:szCs w:val="32"/>
          <w:highlight w:val="none"/>
          <w:shd w:val="clear" w:color="auto" w:fill="FFFFFF"/>
          <w:lang w:val="en-US" w:eastAsia="zh-CN" w:bidi="ar-SA"/>
        </w:rPr>
        <w:t xml:space="preserve">第三十五条  </w:t>
      </w:r>
      <w:r>
        <w:rPr>
          <w:rFonts w:hint="eastAsia" w:ascii="仿宋_GB2312" w:hAnsi="Times New Roman" w:eastAsia="仿宋_GB2312" w:cs="Times New Roman"/>
          <w:color w:val="auto"/>
          <w:spacing w:val="0"/>
          <w:kern w:val="2"/>
          <w:sz w:val="32"/>
          <w:szCs w:val="32"/>
          <w:highlight w:val="none"/>
          <w:shd w:val="clear" w:color="auto" w:fill="FFFFFF"/>
          <w:lang w:val="en-US" w:eastAsia="zh-CN" w:bidi="ar-SA"/>
        </w:rPr>
        <w:t>本办法自2023年6月1日起实施。本办法实施后，由自治区医疗保障局会同自治区财政厅、卫健委，</w:t>
      </w:r>
      <w:r>
        <w:rPr>
          <w:rFonts w:ascii="仿宋_GB2312" w:hAnsi="Times New Roman" w:eastAsia="仿宋_GB2312" w:cs="Times New Roman"/>
          <w:color w:val="auto"/>
          <w:spacing w:val="0"/>
          <w:kern w:val="2"/>
          <w:sz w:val="32"/>
          <w:szCs w:val="32"/>
          <w:highlight w:val="none"/>
          <w:shd w:val="clear" w:color="auto" w:fill="FFFFFF"/>
          <w:lang w:val="en-US" w:eastAsia="zh-CN" w:bidi="ar-SA"/>
        </w:rPr>
        <w:t>根据</w:t>
      </w:r>
      <w:r>
        <w:rPr>
          <w:rFonts w:hint="eastAsia" w:ascii="仿宋_GB2312" w:hAnsi="Times New Roman" w:eastAsia="仿宋_GB2312" w:cs="Times New Roman"/>
          <w:color w:val="auto"/>
          <w:spacing w:val="0"/>
          <w:kern w:val="2"/>
          <w:sz w:val="32"/>
          <w:szCs w:val="32"/>
          <w:highlight w:val="none"/>
          <w:shd w:val="clear" w:color="auto" w:fill="FFFFFF"/>
          <w:lang w:val="en-US" w:eastAsia="zh-CN" w:bidi="ar-SA"/>
        </w:rPr>
        <w:t>运行</w:t>
      </w:r>
      <w:r>
        <w:rPr>
          <w:rFonts w:ascii="仿宋_GB2312" w:hAnsi="Times New Roman" w:eastAsia="仿宋_GB2312" w:cs="Times New Roman"/>
          <w:color w:val="auto"/>
          <w:spacing w:val="0"/>
          <w:kern w:val="2"/>
          <w:sz w:val="32"/>
          <w:szCs w:val="32"/>
          <w:highlight w:val="none"/>
          <w:shd w:val="clear" w:color="auto" w:fill="FFFFFF"/>
          <w:lang w:val="en-US" w:eastAsia="zh-CN" w:bidi="ar-SA"/>
        </w:rPr>
        <w:t>实际</w:t>
      </w:r>
      <w:r>
        <w:rPr>
          <w:rFonts w:hint="eastAsia" w:ascii="仿宋_GB2312" w:hAnsi="Times New Roman" w:eastAsia="仿宋_GB2312" w:cs="Times New Roman"/>
          <w:color w:val="auto"/>
          <w:spacing w:val="0"/>
          <w:kern w:val="2"/>
          <w:sz w:val="32"/>
          <w:szCs w:val="32"/>
          <w:highlight w:val="none"/>
          <w:shd w:val="clear" w:color="auto" w:fill="FFFFFF"/>
          <w:lang w:val="en-US" w:eastAsia="zh-CN" w:bidi="ar-SA"/>
        </w:rPr>
        <w:t>情况</w:t>
      </w:r>
      <w:r>
        <w:rPr>
          <w:rFonts w:ascii="仿宋_GB2312" w:hAnsi="Times New Roman" w:eastAsia="仿宋_GB2312" w:cs="Times New Roman"/>
          <w:color w:val="auto"/>
          <w:spacing w:val="0"/>
          <w:kern w:val="2"/>
          <w:sz w:val="32"/>
          <w:szCs w:val="32"/>
          <w:highlight w:val="none"/>
          <w:shd w:val="clear" w:color="auto" w:fill="FFFFFF"/>
          <w:lang w:val="en-US" w:eastAsia="zh-CN" w:bidi="ar-SA"/>
        </w:rPr>
        <w:t>，</w:t>
      </w:r>
      <w:r>
        <w:rPr>
          <w:rFonts w:hint="eastAsia" w:ascii="仿宋_GB2312" w:hAnsi="Times New Roman" w:eastAsia="仿宋_GB2312" w:cs="Times New Roman"/>
          <w:color w:val="auto"/>
          <w:spacing w:val="0"/>
          <w:kern w:val="2"/>
          <w:sz w:val="32"/>
          <w:szCs w:val="32"/>
          <w:highlight w:val="none"/>
          <w:shd w:val="clear" w:color="auto" w:fill="FFFFFF"/>
          <w:lang w:val="en-US" w:eastAsia="zh-CN" w:bidi="ar-SA"/>
        </w:rPr>
        <w:t>适时完善调整相关政策。</w:t>
      </w:r>
      <w:r>
        <w:rPr>
          <w:rFonts w:hint="eastAsia" w:ascii="仿宋_GB2312" w:hAnsi="Times New Roman" w:eastAsia="仿宋_GB2312" w:cs="Times New Roman"/>
          <w:i w:val="0"/>
          <w:iCs w:val="0"/>
          <w:caps w:val="0"/>
          <w:color w:val="auto"/>
          <w:spacing w:val="0"/>
          <w:kern w:val="2"/>
          <w:sz w:val="32"/>
          <w:szCs w:val="32"/>
          <w:highlight w:val="none"/>
          <w:shd w:val="clear" w:color="auto" w:fill="auto"/>
          <w:lang w:val="en-US" w:eastAsia="zh-CN" w:bidi="ar-SA"/>
        </w:rPr>
        <w:t>此前规定与本办法不一致的，以本办法为准。</w:t>
      </w:r>
    </w:p>
    <w:p>
      <w:pPr>
        <w:keepNext w:val="0"/>
        <w:keepLines w:val="0"/>
        <w:pageBreakBefore w:val="0"/>
        <w:widowControl w:val="0"/>
        <w:kinsoku/>
        <w:wordWrap/>
        <w:overflowPunct/>
        <w:topLinePunct w:val="0"/>
        <w:autoSpaceDE/>
        <w:autoSpaceDN/>
        <w:bidi w:val="0"/>
        <w:adjustRightInd w:val="0"/>
        <w:snapToGrid w:val="0"/>
        <w:spacing w:line="580" w:lineRule="atLeast"/>
        <w:ind w:left="1918" w:leftChars="304" w:right="0" w:rightChars="0" w:hanging="1280" w:hangingChars="400"/>
        <w:jc w:val="left"/>
        <w:textAlignment w:val="auto"/>
        <w:rPr>
          <w:rFonts w:hint="eastAsia" w:ascii="仿宋_GB2312" w:hAnsi="Times New Roman" w:eastAsia="仿宋_GB2312" w:cs="Times New Roman"/>
          <w:i w:val="0"/>
          <w:iCs w:val="0"/>
          <w:caps w:val="0"/>
          <w:color w:val="auto"/>
          <w:spacing w:val="0"/>
          <w:kern w:val="2"/>
          <w:sz w:val="32"/>
          <w:szCs w:val="32"/>
          <w:highlight w:val="none"/>
          <w:shd w:val="clear" w:color="auto" w:fill="auto"/>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80" w:lineRule="atLeast"/>
        <w:ind w:left="1918" w:leftChars="304" w:right="0" w:rightChars="0" w:hanging="1280" w:hangingChars="400"/>
        <w:jc w:val="left"/>
        <w:textAlignment w:val="auto"/>
        <w:rPr>
          <w:rFonts w:hint="eastAsia" w:ascii="仿宋_GB2312" w:hAnsi="Times New Roman" w:eastAsia="仿宋_GB2312" w:cs="Times New Roman"/>
          <w:i w:val="0"/>
          <w:iCs w:val="0"/>
          <w:caps w:val="0"/>
          <w:color w:val="auto"/>
          <w:spacing w:val="0"/>
          <w:kern w:val="2"/>
          <w:sz w:val="32"/>
          <w:szCs w:val="32"/>
          <w:highlight w:val="none"/>
          <w:shd w:val="clear" w:color="auto" w:fill="auto"/>
          <w:lang w:val="en-US" w:eastAsia="zh-CN" w:bidi="ar-SA"/>
        </w:rPr>
      </w:pPr>
      <w:r>
        <w:rPr>
          <w:rFonts w:hint="eastAsia" w:ascii="仿宋_GB2312" w:hAnsi="Times New Roman" w:eastAsia="仿宋_GB2312" w:cs="Times New Roman"/>
          <w:i w:val="0"/>
          <w:iCs w:val="0"/>
          <w:caps w:val="0"/>
          <w:color w:val="auto"/>
          <w:spacing w:val="0"/>
          <w:kern w:val="2"/>
          <w:sz w:val="32"/>
          <w:szCs w:val="32"/>
          <w:highlight w:val="none"/>
          <w:shd w:val="clear" w:color="auto" w:fill="auto"/>
          <w:lang w:val="en-US" w:eastAsia="zh-CN" w:bidi="ar-SA"/>
        </w:rPr>
        <w:t>附件：1.宁夏回族自治区职工基本医疗保险门诊慢特病保障病种及诊断认定标准（2023年版）</w:t>
      </w:r>
    </w:p>
    <w:p>
      <w:pPr>
        <w:keepNext w:val="0"/>
        <w:keepLines w:val="0"/>
        <w:pageBreakBefore w:val="0"/>
        <w:widowControl w:val="0"/>
        <w:kinsoku/>
        <w:wordWrap/>
        <w:overflowPunct/>
        <w:topLinePunct w:val="0"/>
        <w:autoSpaceDE/>
        <w:autoSpaceDN/>
        <w:bidi w:val="0"/>
        <w:adjustRightInd w:val="0"/>
        <w:snapToGrid w:val="0"/>
        <w:spacing w:line="580" w:lineRule="atLeast"/>
        <w:ind w:left="1916" w:leftChars="760" w:right="0" w:rightChars="0" w:hanging="320" w:hangingChars="100"/>
        <w:jc w:val="left"/>
        <w:textAlignment w:val="auto"/>
        <w:rPr>
          <w:rFonts w:hint="eastAsia" w:ascii="仿宋_GB2312" w:hAnsi="Times New Roman" w:eastAsia="仿宋_GB2312" w:cs="Times New Roman"/>
          <w:i w:val="0"/>
          <w:iCs w:val="0"/>
          <w:caps w:val="0"/>
          <w:color w:val="auto"/>
          <w:spacing w:val="0"/>
          <w:kern w:val="2"/>
          <w:sz w:val="32"/>
          <w:szCs w:val="32"/>
          <w:highlight w:val="none"/>
          <w:shd w:val="clear" w:color="auto" w:fill="auto"/>
          <w:lang w:val="en-US" w:eastAsia="zh-CN" w:bidi="ar-SA"/>
        </w:rPr>
      </w:pPr>
      <w:r>
        <w:rPr>
          <w:rFonts w:hint="eastAsia" w:ascii="仿宋_GB2312" w:hAnsi="Times New Roman" w:eastAsia="仿宋_GB2312" w:cs="Times New Roman"/>
          <w:i w:val="0"/>
          <w:iCs w:val="0"/>
          <w:caps w:val="0"/>
          <w:color w:val="auto"/>
          <w:spacing w:val="0"/>
          <w:kern w:val="2"/>
          <w:sz w:val="32"/>
          <w:szCs w:val="32"/>
          <w:highlight w:val="none"/>
          <w:shd w:val="clear" w:color="auto" w:fill="auto"/>
          <w:lang w:val="en-US" w:eastAsia="zh-CN" w:bidi="ar-SA"/>
        </w:rPr>
        <w:t>2.宁夏回族自治区职工基本医疗保险门诊慢特病保障待遇支付及编码对应表（2023年版）</w:t>
      </w:r>
    </w:p>
    <w:p>
      <w:pPr>
        <w:pStyle w:val="2"/>
        <w:snapToGrid w:val="0"/>
        <w:spacing w:line="600" w:lineRule="atLeast"/>
        <w:rPr>
          <w:rFonts w:hint="default"/>
          <w:color w:val="auto"/>
          <w:lang w:val="en-US" w:eastAsia="zh-CN"/>
        </w:rPr>
      </w:pPr>
      <w:r>
        <w:rPr>
          <w:rFonts w:hint="eastAsia"/>
          <w:color w:val="auto"/>
          <w:lang w:val="en-US" w:eastAsia="zh-CN"/>
        </w:rPr>
        <w:t xml:space="preserve">      </w:t>
      </w:r>
    </w:p>
    <w:p>
      <w:pPr>
        <w:pStyle w:val="2"/>
        <w:snapToGrid w:val="0"/>
        <w:spacing w:line="600" w:lineRule="atLeast"/>
        <w:rPr>
          <w:color w:val="auto"/>
        </w:rPr>
      </w:pPr>
    </w:p>
    <w:p>
      <w:pPr>
        <w:pStyle w:val="2"/>
        <w:snapToGrid w:val="0"/>
        <w:spacing w:line="600" w:lineRule="atLeast"/>
        <w:rPr>
          <w:color w:val="auto"/>
        </w:rPr>
      </w:pP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jc w:val="left"/>
        <w:textAlignment w:val="auto"/>
        <w:rPr>
          <w:rFonts w:hint="default" w:ascii="仿宋_GB2312" w:hAnsi="仿宋_GB2312" w:eastAsia="仿宋_GB2312" w:cs="仿宋_GB2312"/>
          <w:color w:val="auto"/>
          <w:sz w:val="32"/>
          <w:szCs w:val="32"/>
          <w:lang w:val="en-US" w:eastAsia="zh-CN"/>
        </w:rPr>
      </w:pPr>
    </w:p>
    <w:p>
      <w:pPr>
        <w:rPr>
          <w:color w:val="auto"/>
        </w:rPr>
      </w:pPr>
    </w:p>
    <w:bookmarkEnd w:id="0"/>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仿宋简体">
    <w:altName w:val="方正仿宋_GBK"/>
    <w:panose1 w:val="02000000000000000000"/>
    <w:charset w:val="86"/>
    <w:family w:val="script"/>
    <w:pitch w:val="default"/>
    <w:sig w:usb0="00000000" w:usb1="00000000" w:usb2="00000012"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黑体_GBK">
    <w:panose1 w:val="02000000000000000000"/>
    <w:charset w:val="86"/>
    <w:family w:val="auto"/>
    <w:pitch w:val="default"/>
    <w:sig w:usb0="00000001" w:usb1="08000000" w:usb2="00000000" w:usb3="00000000" w:csb0="00040000" w:csb1="00000000"/>
  </w:font>
  <w:font w:name="汉仪细圆B5">
    <w:altName w:val="文泉驿微米黑"/>
    <w:panose1 w:val="00000000000000000000"/>
    <w:charset w:val="00"/>
    <w:family w:val="auto"/>
    <w:pitch w:val="default"/>
    <w:sig w:usb0="00000000" w:usb1="00000000" w:usb2="00000000"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 w:name="方正仿宋_GB2312">
    <w:altName w:val="方正仿宋_GBK"/>
    <w:panose1 w:val="02000000000000000000"/>
    <w:charset w:val="86"/>
    <w:family w:val="auto"/>
    <w:pitch w:val="default"/>
    <w:sig w:usb0="00000000" w:usb1="00000000"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文泉驿微米黑">
    <w:panose1 w:val="020B0606030804020204"/>
    <w:charset w:val="86"/>
    <w:family w:val="auto"/>
    <w:pitch w:val="default"/>
    <w:sig w:usb0="E10002EF" w:usb1="6BDFFCFB" w:usb2="00800036" w:usb3="00000000" w:csb0="603E019F" w:csb1="DFD7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true"/>
  <w:embedTrueTypeFonts/>
  <w:saveSubset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zZGQxMTk0ZDIzMWMxYzJkYzk1MGZlYjM2MDNlNmEifQ=="/>
  </w:docVars>
  <w:rsids>
    <w:rsidRoot w:val="00000000"/>
    <w:rsid w:val="167C35DD"/>
    <w:rsid w:val="2D965F29"/>
    <w:rsid w:val="30F81A41"/>
    <w:rsid w:val="35E77612"/>
    <w:rsid w:val="369A198D"/>
    <w:rsid w:val="3D566086"/>
    <w:rsid w:val="3FD7C1C2"/>
    <w:rsid w:val="FFF695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样式1"/>
    <w:basedOn w:val="1"/>
    <w:qFormat/>
    <w:uiPriority w:val="0"/>
    <w:rPr>
      <w:rFonts w:ascii="Calibri" w:hAnsi="Calibri" w:eastAsia="仿宋_GB2312" w:cs="Times New Roman"/>
      <w:sz w:val="32"/>
      <w:szCs w:val="32"/>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6">
    <w:name w:val="Strong"/>
    <w:basedOn w:val="5"/>
    <w:qFormat/>
    <w:uiPriority w:val="0"/>
    <w:rPr>
      <w:b/>
    </w:rPr>
  </w:style>
  <w:style w:type="paragraph" w:customStyle="1" w:styleId="7">
    <w:name w:val="Default"/>
    <w:qFormat/>
    <w:uiPriority w:val="0"/>
    <w:pPr>
      <w:widowControl w:val="0"/>
      <w:autoSpaceDE w:val="0"/>
      <w:autoSpaceDN w:val="0"/>
      <w:adjustRightInd w:val="0"/>
    </w:pPr>
    <w:rPr>
      <w:rFonts w:hint="eastAsia" w:ascii="方正仿宋简体" w:hAnsi="方正仿宋简体" w:eastAsia="方正仿宋简体"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4988</Words>
  <Characters>5065</Characters>
  <Lines>0</Lines>
  <Paragraphs>0</Paragraphs>
  <TotalTime>7</TotalTime>
  <ScaleCrop>false</ScaleCrop>
  <LinksUpToDate>false</LinksUpToDate>
  <CharactersWithSpaces>5152</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2014-10-30T12:08:00Z</dcterms:created>
  <dc:creator>lenovo</dc:creator>
  <cp:lastModifiedBy>张博</cp:lastModifiedBy>
  <dcterms:modified xsi:type="dcterms:W3CDTF">2023-05-17T16:37:03Z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y fmtid="{D5CDD505-2E9C-101B-9397-08002B2CF9AE}" pid="3" name="ICV">
    <vt:lpwstr>8D97E5A00E0F4D1B8634176554E0134F_12</vt:lpwstr>
  </property>
</Properties>
</file>