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附件3</w:t>
      </w:r>
    </w:p>
    <w:p>
      <w:pPr>
        <w:spacing w:line="360" w:lineRule="auto"/>
        <w:jc w:val="center"/>
        <w:rPr>
          <w:rFonts w:hint="eastAsia" w:ascii="方正黑体_GBK" w:hAnsi="方正黑体_GBK" w:eastAsia="方正黑体_GBK" w:cs="方正黑体_GBK"/>
          <w:b/>
          <w:bCs/>
          <w:sz w:val="36"/>
          <w:szCs w:val="32"/>
        </w:rPr>
      </w:pPr>
      <w:r>
        <w:rPr>
          <w:rFonts w:hint="eastAsia" w:ascii="方正黑体_GBK" w:hAnsi="方正黑体_GBK" w:eastAsia="方正黑体_GBK" w:cs="方正黑体_GBK"/>
          <w:b/>
          <w:bCs/>
          <w:sz w:val="36"/>
          <w:szCs w:val="32"/>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w:t>
      </w:r>
      <w:r>
        <w:rPr>
          <w:rFonts w:hint="eastAsia" w:ascii="仿宋" w:hAnsi="仿宋" w:eastAsia="仿宋" w:cs="宋体"/>
          <w:bCs/>
          <w:sz w:val="28"/>
          <w:szCs w:val="28"/>
          <w:lang w:eastAsia="zh-CN"/>
        </w:rPr>
        <w:t>褪</w:t>
      </w:r>
      <w:r>
        <w:rPr>
          <w:rFonts w:hint="eastAsia" w:ascii="仿宋" w:hAnsi="仿宋" w:eastAsia="仿宋" w:cs="宋体"/>
          <w:bCs/>
          <w:sz w:val="28"/>
          <w:szCs w:val="28"/>
        </w:rPr>
        <w:t>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7"/>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hint="eastAsia"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w:t>
      </w:r>
      <w:r>
        <w:rPr>
          <w:rFonts w:hint="eastAsia" w:ascii="仿宋" w:hAnsi="仿宋" w:eastAsia="仿宋" w:cs="宋体"/>
          <w:bCs/>
          <w:color w:val="000000" w:themeColor="text1"/>
          <w:sz w:val="28"/>
          <w:szCs w:val="28"/>
          <w14:textFill>
            <w14:solidFill>
              <w14:schemeClr w14:val="tx1"/>
            </w14:solidFill>
          </w14:textFill>
        </w:rPr>
        <w:t>排名第一的成交候选人。</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rPr>
          <w:rFonts w:hint="eastAsia" w:ascii="仿宋" w:hAnsi="仿宋" w:eastAsia="仿宋" w:cs="宋体"/>
          <w:bCs/>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spacing w:line="360" w:lineRule="auto"/>
        <w:rPr>
          <w:rFonts w:ascii="仿宋" w:hAnsi="仿宋" w:eastAsia="仿宋" w:cs="宋体"/>
          <w:bCs/>
          <w:sz w:val="28"/>
          <w:szCs w:val="28"/>
        </w:rPr>
      </w:pPr>
      <w:r>
        <w:rPr>
          <w:rFonts w:hint="eastAsia" w:ascii="仿宋" w:hAnsi="仿宋" w:eastAsia="仿宋" w:cs="宋体"/>
          <w:bCs/>
          <w:sz w:val="28"/>
          <w:szCs w:val="28"/>
          <w:lang w:val="en-US" w:eastAsia="zh-CN"/>
        </w:rPr>
        <w:t>6</w:t>
      </w:r>
      <w:r>
        <w:rPr>
          <w:rFonts w:hint="eastAsia" w:ascii="仿宋" w:hAnsi="仿宋" w:eastAsia="仿宋" w:cs="宋体"/>
          <w:bCs/>
          <w:sz w:val="28"/>
          <w:szCs w:val="28"/>
        </w:rPr>
        <w:t>、成交供应商拒绝与采购人签订合同的，采购人可以按照评审报告推荐的成交候选人名单排序，确定下一候选人为成交供应商，也可以重新开展政府采购活动。</w:t>
      </w:r>
      <w:bookmarkStart w:id="0" w:name="_GoBack"/>
      <w:bookmarkEnd w:id="0"/>
    </w:p>
    <w:p>
      <w:pPr>
        <w:spacing w:line="360" w:lineRule="auto"/>
        <w:rPr>
          <w:rFonts w:ascii="仿宋" w:hAnsi="仿宋" w:eastAsia="仿宋" w:cs="宋体"/>
          <w:b/>
          <w:bCs/>
          <w:color w:val="FF0000"/>
          <w:sz w:val="28"/>
          <w:szCs w:val="28"/>
        </w:rPr>
      </w:pPr>
    </w:p>
    <w:p>
      <w:pPr>
        <w:widowControl/>
        <w:jc w:val="left"/>
        <w:rPr>
          <w:rFonts w:ascii="仿宋" w:hAnsi="仿宋" w:eastAsia="仿宋" w:cs="宋体"/>
          <w:bCs/>
          <w:sz w:val="28"/>
          <w:szCs w:val="28"/>
        </w:rPr>
      </w:pPr>
      <w:r>
        <w:rPr>
          <w:rFonts w:ascii="仿宋" w:hAnsi="仿宋" w:eastAsia="仿宋" w:cs="宋体"/>
          <w:bCs/>
          <w:sz w:val="28"/>
          <w:szCs w:val="28"/>
        </w:rPr>
        <w:br w:type="page"/>
      </w:r>
    </w:p>
    <w:p>
      <w:pPr>
        <w:spacing w:line="360" w:lineRule="auto"/>
        <w:jc w:val="center"/>
        <w:rPr>
          <w:rFonts w:hint="eastAsia" w:ascii="方正黑体_GBK" w:hAnsi="方正黑体_GBK" w:eastAsia="方正黑体_GBK" w:cs="方正黑体_GBK"/>
          <w:b/>
          <w:bCs/>
          <w:sz w:val="36"/>
          <w:szCs w:val="32"/>
          <w:lang w:eastAsia="zh-CN"/>
        </w:rPr>
      </w:pPr>
      <w:r>
        <w:rPr>
          <w:rFonts w:hint="eastAsia" w:ascii="方正黑体_GBK" w:hAnsi="方正黑体_GBK" w:eastAsia="方正黑体_GBK" w:cs="方正黑体_GBK"/>
          <w:b/>
          <w:bCs/>
          <w:sz w:val="36"/>
          <w:szCs w:val="32"/>
        </w:rPr>
        <w:t>评分标准</w:t>
      </w:r>
      <w:r>
        <w:rPr>
          <w:rFonts w:hint="eastAsia" w:ascii="方正黑体_GBK" w:hAnsi="方正黑体_GBK" w:eastAsia="方正黑体_GBK" w:cs="方正黑体_GBK"/>
          <w:b/>
          <w:bCs/>
          <w:sz w:val="36"/>
          <w:szCs w:val="32"/>
          <w:lang w:eastAsia="zh-CN"/>
        </w:rPr>
        <w:t>和评分方法</w:t>
      </w:r>
    </w:p>
    <w:p>
      <w:pPr>
        <w:spacing w:line="302" w:lineRule="auto"/>
        <w:rPr>
          <w:rFonts w:ascii="宋体" w:hAnsi="宋体"/>
          <w:sz w:val="21"/>
          <w:szCs w:val="21"/>
        </w:rPr>
      </w:pPr>
      <w:r>
        <w:rPr>
          <w:rFonts w:hint="eastAsia" w:ascii="宋体" w:hAnsi="宋体"/>
          <w:sz w:val="21"/>
          <w:szCs w:val="21"/>
        </w:rPr>
        <w:t>1、评分方法：采用综合评分法，满分为</w:t>
      </w:r>
      <w:r>
        <w:rPr>
          <w:rFonts w:ascii="宋体" w:hAnsi="宋体"/>
          <w:sz w:val="21"/>
          <w:szCs w:val="21"/>
        </w:rPr>
        <w:t>100</w:t>
      </w:r>
      <w:r>
        <w:rPr>
          <w:rFonts w:hint="eastAsia" w:ascii="宋体" w:hAnsi="宋体"/>
          <w:sz w:val="21"/>
          <w:szCs w:val="21"/>
        </w:rPr>
        <w:t>分。</w:t>
      </w:r>
    </w:p>
    <w:p>
      <w:pPr>
        <w:spacing w:line="302" w:lineRule="auto"/>
        <w:rPr>
          <w:rFonts w:ascii="宋体" w:hAnsi="宋体"/>
          <w:sz w:val="21"/>
          <w:szCs w:val="21"/>
        </w:rPr>
      </w:pPr>
      <w:r>
        <w:rPr>
          <w:rFonts w:hint="eastAsia" w:ascii="宋体" w:hAnsi="宋体"/>
          <w:sz w:val="21"/>
          <w:szCs w:val="21"/>
        </w:rPr>
        <w:t>2、价格分采用低价优先法计算，即满足遴选文件要求且报价最低的报价为评标基准价，其价格分为满分，其他</w:t>
      </w:r>
      <w:r>
        <w:rPr>
          <w:rFonts w:hint="eastAsia" w:ascii="宋体" w:hAnsi="宋体"/>
          <w:sz w:val="21"/>
          <w:szCs w:val="21"/>
          <w:lang w:eastAsia="zh-CN"/>
        </w:rPr>
        <w:t>供应商</w:t>
      </w:r>
      <w:r>
        <w:rPr>
          <w:rFonts w:hint="eastAsia" w:ascii="宋体" w:hAnsi="宋体"/>
          <w:sz w:val="21"/>
          <w:szCs w:val="21"/>
        </w:rPr>
        <w:t>的价格分统一按下列公式计算：</w:t>
      </w:r>
    </w:p>
    <w:p>
      <w:pPr>
        <w:spacing w:line="302" w:lineRule="auto"/>
        <w:rPr>
          <w:rFonts w:ascii="宋体" w:hAnsi="宋体"/>
          <w:sz w:val="21"/>
          <w:szCs w:val="21"/>
        </w:rPr>
      </w:pPr>
      <w:r>
        <w:rPr>
          <w:rFonts w:hint="eastAsia" w:ascii="宋体" w:hAnsi="宋体"/>
          <w:sz w:val="21"/>
          <w:szCs w:val="21"/>
        </w:rPr>
        <w:t>报价得分=（评标基准价/报价）×价格权值×100。</w:t>
      </w:r>
    </w:p>
    <w:p>
      <w:pPr>
        <w:spacing w:line="302" w:lineRule="auto"/>
        <w:rPr>
          <w:rFonts w:ascii="宋体" w:hAnsi="宋体"/>
          <w:sz w:val="21"/>
          <w:szCs w:val="21"/>
        </w:rPr>
      </w:pPr>
      <w:r>
        <w:rPr>
          <w:rFonts w:hint="eastAsia" w:ascii="宋体" w:hAnsi="宋体"/>
          <w:sz w:val="21"/>
          <w:szCs w:val="21"/>
        </w:rPr>
        <w:t>3、最低报价不作为成交保证。</w:t>
      </w:r>
    </w:p>
    <w:p>
      <w:pPr>
        <w:widowControl/>
        <w:adjustRightInd/>
        <w:spacing w:line="400" w:lineRule="exact"/>
        <w:jc w:val="both"/>
        <w:textAlignment w:val="auto"/>
        <w:rPr>
          <w:rFonts w:ascii="宋体" w:hAnsi="宋体"/>
          <w:sz w:val="21"/>
          <w:szCs w:val="21"/>
        </w:rPr>
      </w:pPr>
      <w:r>
        <w:rPr>
          <w:rFonts w:hint="eastAsia" w:ascii="宋体" w:hAnsi="宋体"/>
          <w:sz w:val="21"/>
          <w:szCs w:val="21"/>
        </w:rPr>
        <w:t>4、本项目对属于小型和微型企业的</w:t>
      </w:r>
      <w:r>
        <w:rPr>
          <w:rFonts w:hint="eastAsia" w:ascii="宋体" w:hAnsi="宋体"/>
          <w:sz w:val="21"/>
          <w:szCs w:val="21"/>
          <w:lang w:eastAsia="zh-CN"/>
        </w:rPr>
        <w:t>供应商</w:t>
      </w:r>
      <w:r>
        <w:rPr>
          <w:rFonts w:hint="eastAsia" w:ascii="宋体" w:hAnsi="宋体"/>
          <w:sz w:val="21"/>
          <w:szCs w:val="21"/>
        </w:rPr>
        <w:t>的报价给予6%的扣除，用扣除后的价格参与评审。</w:t>
      </w:r>
    </w:p>
    <w:p>
      <w:pPr>
        <w:widowControl/>
        <w:adjustRightInd/>
        <w:spacing w:line="400" w:lineRule="exact"/>
        <w:jc w:val="both"/>
        <w:textAlignment w:val="auto"/>
        <w:rPr>
          <w:rFonts w:hint="eastAsia" w:ascii="方正黑体_GBK" w:hAnsi="方正黑体_GBK" w:eastAsia="方正黑体_GBK" w:cs="方正黑体_GBK"/>
          <w:b/>
          <w:bCs/>
          <w:sz w:val="36"/>
          <w:szCs w:val="32"/>
        </w:rPr>
      </w:pPr>
      <w:r>
        <w:rPr>
          <w:rFonts w:hint="eastAsia" w:ascii="宋体" w:hAnsi="宋体"/>
          <w:sz w:val="21"/>
          <w:szCs w:val="21"/>
        </w:rPr>
        <w:t>5、具体评分标准：</w:t>
      </w:r>
    </w:p>
    <w:tbl>
      <w:tblPr>
        <w:tblStyle w:val="7"/>
        <w:tblpPr w:leftFromText="180" w:rightFromText="180" w:vertAnchor="text" w:horzAnchor="page" w:tblpX="1685" w:tblpY="329"/>
        <w:tblOverlap w:val="never"/>
        <w:tblW w:w="9214" w:type="dxa"/>
        <w:tblInd w:w="0" w:type="dxa"/>
        <w:tblLayout w:type="fixed"/>
        <w:tblCellMar>
          <w:top w:w="0" w:type="dxa"/>
          <w:left w:w="108" w:type="dxa"/>
          <w:bottom w:w="0" w:type="dxa"/>
          <w:right w:w="108" w:type="dxa"/>
        </w:tblCellMar>
      </w:tblPr>
      <w:tblGrid>
        <w:gridCol w:w="490"/>
        <w:gridCol w:w="1033"/>
        <w:gridCol w:w="1137"/>
        <w:gridCol w:w="5796"/>
        <w:gridCol w:w="758"/>
      </w:tblGrid>
      <w:tr>
        <w:tblPrEx>
          <w:tblCellMar>
            <w:top w:w="0" w:type="dxa"/>
            <w:left w:w="108" w:type="dxa"/>
            <w:bottom w:w="0" w:type="dxa"/>
            <w:right w:w="108" w:type="dxa"/>
          </w:tblCellMar>
        </w:tblPrEx>
        <w:trPr>
          <w:trHeight w:val="330" w:hRule="atLeast"/>
        </w:trPr>
        <w:tc>
          <w:tcPr>
            <w:tcW w:w="49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2170" w:type="dxa"/>
            <w:gridSpan w:val="2"/>
            <w:tcBorders>
              <w:top w:val="single" w:color="auto" w:sz="8" w:space="0"/>
              <w:left w:val="nil"/>
              <w:bottom w:val="single" w:color="auto" w:sz="4"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评审因素</w:t>
            </w:r>
          </w:p>
        </w:tc>
        <w:tc>
          <w:tcPr>
            <w:tcW w:w="5796" w:type="dxa"/>
            <w:tcBorders>
              <w:top w:val="single" w:color="auto" w:sz="8" w:space="0"/>
              <w:left w:val="nil"/>
              <w:bottom w:val="single" w:color="auto" w:sz="4"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评分标准说明</w:t>
            </w:r>
          </w:p>
        </w:tc>
        <w:tc>
          <w:tcPr>
            <w:tcW w:w="758" w:type="dxa"/>
            <w:tcBorders>
              <w:top w:val="single" w:color="auto" w:sz="8" w:space="0"/>
              <w:left w:val="nil"/>
              <w:bottom w:val="single" w:color="auto" w:sz="8"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分值</w:t>
            </w:r>
          </w:p>
        </w:tc>
      </w:tr>
      <w:tr>
        <w:tblPrEx>
          <w:tblCellMar>
            <w:top w:w="0" w:type="dxa"/>
            <w:left w:w="108" w:type="dxa"/>
            <w:bottom w:w="0" w:type="dxa"/>
            <w:right w:w="108" w:type="dxa"/>
          </w:tblCellMar>
        </w:tblPrEx>
        <w:trPr>
          <w:trHeight w:val="913" w:hRule="atLeast"/>
        </w:trPr>
        <w:tc>
          <w:tcPr>
            <w:tcW w:w="490" w:type="dxa"/>
            <w:vMerge w:val="restart"/>
            <w:tcBorders>
              <w:top w:val="nil"/>
              <w:left w:val="single" w:color="auto" w:sz="8" w:space="0"/>
              <w:bottom w:val="single" w:color="auto" w:sz="8" w:space="0"/>
              <w:right w:val="single" w:color="auto" w:sz="4" w:space="0"/>
            </w:tcBorders>
            <w:noWrap w:val="0"/>
            <w:vAlign w:val="center"/>
          </w:tcPr>
          <w:p>
            <w:pPr>
              <w:widowControl/>
              <w:jc w:val="center"/>
              <w:rPr>
                <w:rFonts w:ascii="宋体" w:hAnsi="宋体" w:cs="Arial"/>
                <w:color w:val="000000"/>
                <w:sz w:val="18"/>
                <w:szCs w:val="18"/>
              </w:rPr>
            </w:pPr>
            <w:r>
              <w:rPr>
                <w:rFonts w:ascii="宋体" w:hAnsi="宋体" w:cs="Arial"/>
                <w:color w:val="000000"/>
                <w:sz w:val="18"/>
                <w:szCs w:val="18"/>
              </w:rPr>
              <w:t>1</w:t>
            </w:r>
          </w:p>
        </w:tc>
        <w:tc>
          <w:tcPr>
            <w:tcW w:w="10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商务部分</w:t>
            </w:r>
            <w:r>
              <w:rPr>
                <w:rFonts w:hint="eastAsia" w:ascii="仿宋_GB2312" w:hAnsi="仿宋_GB2312" w:eastAsia="仿宋_GB2312" w:cs="仿宋_GB2312"/>
                <w:color w:val="000000"/>
                <w:sz w:val="18"/>
                <w:szCs w:val="18"/>
              </w:rPr>
              <w:br w:type="textWrapping"/>
            </w:r>
            <w:r>
              <w:rPr>
                <w:rFonts w:hint="eastAsia" w:ascii="仿宋_GB2312" w:hAnsi="仿宋_GB2312" w:eastAsia="仿宋_GB2312" w:cs="仿宋_GB2312"/>
                <w:color w:val="000000"/>
                <w:sz w:val="18"/>
                <w:szCs w:val="18"/>
              </w:rPr>
              <w:t>（2</w:t>
            </w:r>
            <w:r>
              <w:rPr>
                <w:rFonts w:hint="eastAsia" w:ascii="仿宋_GB2312" w:hAnsi="仿宋_GB2312" w:eastAsia="仿宋_GB2312" w:cs="仿宋_GB2312"/>
                <w:color w:val="000000"/>
                <w:sz w:val="18"/>
                <w:szCs w:val="18"/>
                <w:lang w:val="en-US" w:eastAsia="zh-CN"/>
              </w:rPr>
              <w:t>5</w:t>
            </w:r>
            <w:r>
              <w:rPr>
                <w:rFonts w:hint="eastAsia" w:ascii="仿宋_GB2312" w:hAnsi="仿宋_GB2312" w:eastAsia="仿宋_GB2312" w:cs="仿宋_GB2312"/>
                <w:color w:val="000000"/>
                <w:sz w:val="18"/>
                <w:szCs w:val="18"/>
              </w:rPr>
              <w:t>分）</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供应商</w:t>
            </w:r>
            <w:r>
              <w:rPr>
                <w:rFonts w:hint="eastAsia" w:ascii="仿宋_GB2312" w:hAnsi="仿宋_GB2312" w:eastAsia="仿宋_GB2312" w:cs="仿宋_GB2312"/>
                <w:sz w:val="18"/>
                <w:szCs w:val="18"/>
              </w:rPr>
              <w:t>基本情况</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（5分）</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供应商</w:t>
            </w:r>
            <w:r>
              <w:rPr>
                <w:rFonts w:hint="eastAsia" w:ascii="仿宋_GB2312" w:hAnsi="仿宋_GB2312" w:eastAsia="仿宋_GB2312" w:cs="仿宋_GB2312"/>
                <w:sz w:val="18"/>
                <w:szCs w:val="18"/>
              </w:rPr>
              <w:t>资信情况、财务状况良好（财务审计报告</w:t>
            </w:r>
            <w:r>
              <w:rPr>
                <w:rFonts w:hint="eastAsia" w:ascii="仿宋_GB2312" w:hAnsi="仿宋_GB2312" w:eastAsia="仿宋_GB2312" w:cs="仿宋_GB2312"/>
                <w:sz w:val="18"/>
                <w:szCs w:val="18"/>
                <w:lang w:eastAsia="zh-CN"/>
              </w:rPr>
              <w:t>等</w:t>
            </w: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eastAsia="zh-CN"/>
              </w:rPr>
              <w:t>，财务管理规范，有专业财务管理队伍。</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0-5</w:t>
            </w:r>
          </w:p>
        </w:tc>
      </w:tr>
      <w:tr>
        <w:tblPrEx>
          <w:tblCellMar>
            <w:top w:w="0" w:type="dxa"/>
            <w:left w:w="108" w:type="dxa"/>
            <w:bottom w:w="0" w:type="dxa"/>
            <w:right w:w="108" w:type="dxa"/>
          </w:tblCellMar>
        </w:tblPrEx>
        <w:trPr>
          <w:trHeight w:val="1511" w:hRule="atLeast"/>
        </w:trPr>
        <w:tc>
          <w:tcPr>
            <w:tcW w:w="490" w:type="dxa"/>
            <w:vMerge w:val="continue"/>
            <w:tcBorders>
              <w:top w:val="nil"/>
              <w:left w:val="single" w:color="auto" w:sz="8" w:space="0"/>
              <w:bottom w:val="single" w:color="auto" w:sz="8" w:space="0"/>
              <w:right w:val="single" w:color="auto" w:sz="4" w:space="0"/>
            </w:tcBorders>
            <w:noWrap w:val="0"/>
            <w:vAlign w:val="center"/>
          </w:tcPr>
          <w:p>
            <w:pPr>
              <w:widowControl/>
              <w:rPr>
                <w:rFonts w:ascii="宋体" w:hAnsi="宋体" w:cs="Arial"/>
                <w:color w:val="000000"/>
                <w:sz w:val="18"/>
                <w:szCs w:val="18"/>
              </w:rPr>
            </w:pPr>
          </w:p>
        </w:tc>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color w:val="000000"/>
                <w:sz w:val="18"/>
                <w:szCs w:val="18"/>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供应商</w:t>
            </w:r>
            <w:r>
              <w:rPr>
                <w:rFonts w:hint="eastAsia" w:ascii="仿宋_GB2312" w:hAnsi="仿宋_GB2312" w:eastAsia="仿宋_GB2312" w:cs="仿宋_GB2312"/>
                <w:sz w:val="18"/>
                <w:szCs w:val="18"/>
              </w:rPr>
              <w:t>的业绩</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val="en-US" w:eastAsia="zh-CN"/>
              </w:rPr>
              <w:t>20</w:t>
            </w:r>
            <w:r>
              <w:rPr>
                <w:rFonts w:hint="eastAsia" w:ascii="仿宋_GB2312" w:hAnsi="仿宋_GB2312" w:eastAsia="仿宋_GB2312" w:cs="仿宋_GB2312"/>
                <w:sz w:val="18"/>
                <w:szCs w:val="18"/>
              </w:rPr>
              <w:t>分）</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供应商近三年（2019年1月起至本采购活动遴选公告发布前（以合同签订日期为准）承接过政府委托服务项目业绩，每提供1个业绩得5分，最多得20分。</w:t>
            </w:r>
            <w:r>
              <w:rPr>
                <w:rFonts w:hint="eastAsia" w:ascii="仿宋_GB2312" w:hAnsi="仿宋_GB2312" w:eastAsia="仿宋_GB2312" w:cs="仿宋_GB2312"/>
                <w:sz w:val="18"/>
                <w:szCs w:val="18"/>
                <w:lang w:val="en-US" w:eastAsia="zh-CN"/>
              </w:rPr>
              <w:br w:type="textWrapping"/>
            </w:r>
            <w:r>
              <w:rPr>
                <w:rFonts w:hint="eastAsia" w:ascii="仿宋_GB2312" w:hAnsi="仿宋_GB2312" w:eastAsia="仿宋_GB2312" w:cs="仿宋_GB2312"/>
                <w:sz w:val="18"/>
                <w:szCs w:val="18"/>
                <w:lang w:val="en-US" w:eastAsia="zh-CN"/>
              </w:rPr>
              <w:t>注：需提供业绩合同或协议复印件并加盖公章，如无材料证明或证明材料不完整，上述内容将视为零分。</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0-20</w:t>
            </w:r>
          </w:p>
        </w:tc>
      </w:tr>
      <w:tr>
        <w:tblPrEx>
          <w:tblCellMar>
            <w:top w:w="0" w:type="dxa"/>
            <w:left w:w="108" w:type="dxa"/>
            <w:bottom w:w="0" w:type="dxa"/>
            <w:right w:w="108" w:type="dxa"/>
          </w:tblCellMar>
        </w:tblPrEx>
        <w:trPr>
          <w:trHeight w:val="420" w:hRule="atLeast"/>
        </w:trPr>
        <w:tc>
          <w:tcPr>
            <w:tcW w:w="490" w:type="dxa"/>
            <w:vMerge w:val="restart"/>
            <w:tcBorders>
              <w:top w:val="nil"/>
              <w:left w:val="single" w:color="auto" w:sz="8" w:space="0"/>
              <w:right w:val="single" w:color="auto" w:sz="4" w:space="0"/>
            </w:tcBorders>
            <w:noWrap w:val="0"/>
            <w:vAlign w:val="center"/>
          </w:tcPr>
          <w:p>
            <w:pPr>
              <w:widowControl/>
              <w:jc w:val="center"/>
              <w:rPr>
                <w:rFonts w:ascii="宋体" w:hAnsi="宋体" w:cs="Arial"/>
                <w:color w:val="000000"/>
                <w:sz w:val="18"/>
                <w:szCs w:val="18"/>
              </w:rPr>
            </w:pPr>
            <w:r>
              <w:rPr>
                <w:rFonts w:ascii="宋体" w:hAnsi="宋体" w:cs="Arial"/>
                <w:color w:val="000000"/>
                <w:sz w:val="18"/>
                <w:szCs w:val="18"/>
              </w:rPr>
              <w:t>2</w:t>
            </w:r>
          </w:p>
        </w:tc>
        <w:tc>
          <w:tcPr>
            <w:tcW w:w="1033"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技术部分（6</w:t>
            </w:r>
            <w:r>
              <w:rPr>
                <w:rFonts w:hint="eastAsia" w:ascii="仿宋_GB2312" w:hAnsi="仿宋_GB2312" w:eastAsia="仿宋_GB2312" w:cs="仿宋_GB2312"/>
                <w:color w:val="000000"/>
                <w:sz w:val="18"/>
                <w:szCs w:val="18"/>
                <w:lang w:val="en-US" w:eastAsia="zh-CN"/>
              </w:rPr>
              <w:t>5</w:t>
            </w:r>
            <w:r>
              <w:rPr>
                <w:rFonts w:hint="eastAsia" w:ascii="仿宋_GB2312" w:hAnsi="仿宋_GB2312" w:eastAsia="仿宋_GB2312" w:cs="仿宋_GB2312"/>
                <w:color w:val="000000"/>
                <w:sz w:val="18"/>
                <w:szCs w:val="18"/>
              </w:rPr>
              <w:t>分）</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项目方案</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项目方案科学合理性强、内容详细全面，可行性强,得25-35分；项目方案科学合理性较强、内容较为详细全面，可行性较好,得9-24分；项目方案科学合理、内容一般，有可行性,得1-8分；项目方案科学合理较差、内容不充实，可行性差,得0分。</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0-35</w:t>
            </w:r>
          </w:p>
        </w:tc>
      </w:tr>
      <w:tr>
        <w:tblPrEx>
          <w:tblCellMar>
            <w:top w:w="0" w:type="dxa"/>
            <w:left w:w="108" w:type="dxa"/>
            <w:bottom w:w="0" w:type="dxa"/>
            <w:right w:w="108" w:type="dxa"/>
          </w:tblCellMar>
        </w:tblPrEx>
        <w:trPr>
          <w:trHeight w:val="420" w:hRule="atLeast"/>
        </w:trPr>
        <w:tc>
          <w:tcPr>
            <w:tcW w:w="490" w:type="dxa"/>
            <w:vMerge w:val="continue"/>
            <w:tcBorders>
              <w:left w:val="single" w:color="auto" w:sz="8" w:space="0"/>
              <w:right w:val="single" w:color="auto" w:sz="4" w:space="0"/>
            </w:tcBorders>
            <w:noWrap w:val="0"/>
            <w:vAlign w:val="center"/>
          </w:tcPr>
          <w:p>
            <w:pPr>
              <w:widowControl/>
              <w:jc w:val="center"/>
              <w:rPr>
                <w:rFonts w:ascii="宋体" w:hAnsi="宋体" w:cs="Arial"/>
                <w:color w:val="000000"/>
                <w:sz w:val="18"/>
                <w:szCs w:val="18"/>
              </w:rPr>
            </w:pPr>
          </w:p>
        </w:tc>
        <w:tc>
          <w:tcPr>
            <w:tcW w:w="1033" w:type="dxa"/>
            <w:vMerge w:val="continue"/>
            <w:tcBorders>
              <w:left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sz w:val="18"/>
                <w:szCs w:val="18"/>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项目人员配备</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lang w:eastAsia="zh-CN"/>
              </w:rPr>
            </w:pPr>
            <w:r>
              <w:rPr>
                <w:rFonts w:hint="eastAsia" w:ascii="仿宋_GB2312" w:hAnsi="仿宋_GB2312" w:eastAsia="仿宋_GB2312" w:cs="仿宋_GB2312"/>
                <w:i w:val="0"/>
                <w:color w:val="000000"/>
                <w:kern w:val="0"/>
                <w:sz w:val="18"/>
                <w:szCs w:val="18"/>
                <w:u w:val="none"/>
                <w:lang w:val="en-US" w:eastAsia="zh-CN" w:bidi="ar-SA"/>
              </w:rPr>
              <w:t>拟投入本项目团队人员评价：</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（1）类似工作经验丰富，学历（专业）优于/符合要求，分工明确，与项目实际契合度高，得7-10分；</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（2）类似工作经验较丰富，学历（专业）符合要求，分工较明确，与项目实际契合度较高，得4-6分；</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（3）类似工作经验一般，学历（专业）基本满足要求，分工一般，与项目实际契合度一般，得1-3分；</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（4）类似工作经验较差，学历（专业）较差，分工不明确，无法满足实际需要，得0分。</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注：需提供项目团队人员劳动合同复印件、工作简历、学历证书复印件。</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0-10</w:t>
            </w:r>
          </w:p>
        </w:tc>
      </w:tr>
      <w:tr>
        <w:tblPrEx>
          <w:tblCellMar>
            <w:top w:w="0" w:type="dxa"/>
            <w:left w:w="108" w:type="dxa"/>
            <w:bottom w:w="0" w:type="dxa"/>
            <w:right w:w="108" w:type="dxa"/>
          </w:tblCellMar>
        </w:tblPrEx>
        <w:trPr>
          <w:trHeight w:val="1635" w:hRule="atLeast"/>
        </w:trPr>
        <w:tc>
          <w:tcPr>
            <w:tcW w:w="490" w:type="dxa"/>
            <w:vMerge w:val="continue"/>
            <w:tcBorders>
              <w:left w:val="single" w:color="auto" w:sz="8" w:space="0"/>
              <w:right w:val="single" w:color="auto" w:sz="4" w:space="0"/>
            </w:tcBorders>
            <w:noWrap w:val="0"/>
            <w:vAlign w:val="center"/>
          </w:tcPr>
          <w:p>
            <w:pPr>
              <w:widowControl/>
              <w:rPr>
                <w:rFonts w:ascii="宋体" w:hAnsi="宋体" w:cs="Arial"/>
                <w:color w:val="000000"/>
                <w:sz w:val="18"/>
                <w:szCs w:val="18"/>
              </w:rPr>
            </w:pPr>
          </w:p>
        </w:tc>
        <w:tc>
          <w:tcPr>
            <w:tcW w:w="1033" w:type="dxa"/>
            <w:vMerge w:val="continue"/>
            <w:tcBorders>
              <w:left w:val="single" w:color="auto" w:sz="4" w:space="0"/>
              <w:right w:val="single" w:color="auto" w:sz="4" w:space="0"/>
            </w:tcBorders>
            <w:noWrap w:val="0"/>
            <w:vAlign w:val="center"/>
          </w:tcPr>
          <w:p>
            <w:pPr>
              <w:widowControl/>
              <w:rPr>
                <w:rFonts w:hint="eastAsia" w:ascii="仿宋_GB2312" w:hAnsi="仿宋_GB2312" w:eastAsia="仿宋_GB2312" w:cs="仿宋_GB2312"/>
                <w:color w:val="000000"/>
                <w:sz w:val="18"/>
                <w:szCs w:val="18"/>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质量保证措施</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供应商质量管理体系健全，技术支持有保障，人员安排合理，能够在服务期内高质量完成合同要求。优秀的，得7-10分；良好的，得4-6分；一般的，得1-3分；较差的，得0分。</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0-10</w:t>
            </w:r>
          </w:p>
        </w:tc>
      </w:tr>
      <w:tr>
        <w:tblPrEx>
          <w:tblCellMar>
            <w:top w:w="0" w:type="dxa"/>
            <w:left w:w="108" w:type="dxa"/>
            <w:bottom w:w="0" w:type="dxa"/>
            <w:right w:w="108" w:type="dxa"/>
          </w:tblCellMar>
        </w:tblPrEx>
        <w:trPr>
          <w:trHeight w:val="2355" w:hRule="atLeast"/>
        </w:trPr>
        <w:tc>
          <w:tcPr>
            <w:tcW w:w="490" w:type="dxa"/>
            <w:vMerge w:val="continue"/>
            <w:tcBorders>
              <w:left w:val="single" w:color="auto" w:sz="8" w:space="0"/>
              <w:right w:val="single" w:color="auto" w:sz="4" w:space="0"/>
            </w:tcBorders>
            <w:noWrap w:val="0"/>
            <w:vAlign w:val="center"/>
          </w:tcPr>
          <w:p>
            <w:pPr>
              <w:widowControl/>
              <w:rPr>
                <w:rFonts w:ascii="宋体" w:hAnsi="宋体" w:cs="Arial"/>
                <w:color w:val="000000"/>
                <w:sz w:val="18"/>
                <w:szCs w:val="18"/>
              </w:rPr>
            </w:pPr>
          </w:p>
        </w:tc>
        <w:tc>
          <w:tcPr>
            <w:tcW w:w="1033" w:type="dxa"/>
            <w:vMerge w:val="continue"/>
            <w:tcBorders>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color w:val="000000"/>
                <w:sz w:val="18"/>
                <w:szCs w:val="18"/>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i w:val="0"/>
                <w:color w:val="000000"/>
                <w:kern w:val="0"/>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SA"/>
              </w:rPr>
              <w:t>服务承诺</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i w:val="0"/>
                <w:color w:val="000000"/>
                <w:kern w:val="0"/>
                <w:sz w:val="18"/>
                <w:szCs w:val="18"/>
                <w:u w:val="none"/>
                <w:lang w:val="en-US" w:eastAsia="zh-CN" w:bidi="ar-SA"/>
              </w:rPr>
            </w:pPr>
            <w:r>
              <w:rPr>
                <w:rStyle w:val="17"/>
                <w:rFonts w:hint="eastAsia" w:ascii="仿宋_GB2312" w:hAnsi="仿宋_GB2312" w:eastAsia="仿宋_GB2312" w:cs="仿宋_GB2312"/>
                <w:sz w:val="18"/>
                <w:szCs w:val="18"/>
                <w:lang w:val="en-US" w:eastAsia="zh-CN" w:bidi="ar-SA"/>
              </w:rPr>
              <w:t>供应商须提供沟通机制，内容包括①服务人员安排②沟通方案，要求有专人定期沟通、配合。优秀的，得</w:t>
            </w:r>
            <w:r>
              <w:rPr>
                <w:rFonts w:hint="eastAsia" w:ascii="仿宋_GB2312" w:hAnsi="仿宋_GB2312" w:eastAsia="仿宋_GB2312" w:cs="仿宋_GB2312"/>
                <w:i w:val="0"/>
                <w:color w:val="000000"/>
                <w:kern w:val="0"/>
                <w:sz w:val="18"/>
                <w:szCs w:val="18"/>
                <w:u w:val="none"/>
                <w:lang w:val="en-US" w:eastAsia="zh-CN" w:bidi="ar-SA"/>
              </w:rPr>
              <w:t>7-10</w:t>
            </w:r>
            <w:r>
              <w:rPr>
                <w:rStyle w:val="17"/>
                <w:rFonts w:hint="eastAsia" w:ascii="仿宋_GB2312" w:hAnsi="仿宋_GB2312" w:eastAsia="仿宋_GB2312" w:cs="仿宋_GB2312"/>
                <w:sz w:val="18"/>
                <w:szCs w:val="18"/>
                <w:lang w:val="en-US" w:eastAsia="zh-CN" w:bidi="ar-SA"/>
              </w:rPr>
              <w:t>分；良好的，得</w:t>
            </w:r>
            <w:r>
              <w:rPr>
                <w:rFonts w:hint="eastAsia" w:ascii="仿宋_GB2312" w:hAnsi="仿宋_GB2312" w:eastAsia="仿宋_GB2312" w:cs="仿宋_GB2312"/>
                <w:i w:val="0"/>
                <w:color w:val="000000"/>
                <w:kern w:val="0"/>
                <w:sz w:val="18"/>
                <w:szCs w:val="18"/>
                <w:u w:val="none"/>
                <w:lang w:val="en-US" w:eastAsia="zh-CN" w:bidi="ar-SA"/>
              </w:rPr>
              <w:t>4-6</w:t>
            </w:r>
            <w:r>
              <w:rPr>
                <w:rStyle w:val="17"/>
                <w:rFonts w:hint="eastAsia" w:ascii="仿宋_GB2312" w:hAnsi="仿宋_GB2312" w:eastAsia="仿宋_GB2312" w:cs="仿宋_GB2312"/>
                <w:sz w:val="18"/>
                <w:szCs w:val="18"/>
                <w:lang w:val="en-US" w:eastAsia="zh-CN" w:bidi="ar-SA"/>
              </w:rPr>
              <w:t>分；一般的，得</w:t>
            </w:r>
            <w:r>
              <w:rPr>
                <w:rFonts w:hint="eastAsia" w:ascii="仿宋_GB2312" w:hAnsi="仿宋_GB2312" w:eastAsia="仿宋_GB2312" w:cs="仿宋_GB2312"/>
                <w:i w:val="0"/>
                <w:color w:val="000000"/>
                <w:kern w:val="0"/>
                <w:sz w:val="18"/>
                <w:szCs w:val="18"/>
                <w:u w:val="none"/>
                <w:lang w:val="en-US" w:eastAsia="zh-CN" w:bidi="ar-SA"/>
              </w:rPr>
              <w:t>1-3</w:t>
            </w:r>
            <w:r>
              <w:rPr>
                <w:rStyle w:val="17"/>
                <w:rFonts w:hint="eastAsia" w:ascii="仿宋_GB2312" w:hAnsi="仿宋_GB2312" w:eastAsia="仿宋_GB2312" w:cs="仿宋_GB2312"/>
                <w:sz w:val="18"/>
                <w:szCs w:val="18"/>
                <w:lang w:val="en-US" w:eastAsia="zh-CN" w:bidi="ar-SA"/>
              </w:rPr>
              <w:t>分；较差的，得</w:t>
            </w:r>
            <w:r>
              <w:rPr>
                <w:rFonts w:hint="eastAsia" w:ascii="仿宋_GB2312" w:hAnsi="仿宋_GB2312" w:eastAsia="仿宋_GB2312" w:cs="仿宋_GB2312"/>
                <w:i w:val="0"/>
                <w:color w:val="000000"/>
                <w:kern w:val="0"/>
                <w:sz w:val="18"/>
                <w:szCs w:val="18"/>
                <w:u w:val="none"/>
                <w:lang w:val="en-US" w:eastAsia="zh-CN" w:bidi="ar-SA"/>
              </w:rPr>
              <w:t>0</w:t>
            </w:r>
            <w:r>
              <w:rPr>
                <w:rStyle w:val="17"/>
                <w:rFonts w:hint="eastAsia" w:ascii="仿宋_GB2312" w:hAnsi="仿宋_GB2312" w:eastAsia="仿宋_GB2312" w:cs="仿宋_GB2312"/>
                <w:sz w:val="18"/>
                <w:szCs w:val="18"/>
                <w:lang w:val="en-US" w:eastAsia="zh-CN" w:bidi="ar-SA"/>
              </w:rPr>
              <w:t>分。</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0-10</w:t>
            </w:r>
          </w:p>
        </w:tc>
      </w:tr>
      <w:tr>
        <w:tblPrEx>
          <w:tblCellMar>
            <w:top w:w="0" w:type="dxa"/>
            <w:left w:w="108" w:type="dxa"/>
            <w:bottom w:w="0" w:type="dxa"/>
            <w:right w:w="108" w:type="dxa"/>
          </w:tblCellMar>
        </w:tblPrEx>
        <w:trPr>
          <w:trHeight w:val="510" w:hRule="atLeast"/>
        </w:trPr>
        <w:tc>
          <w:tcPr>
            <w:tcW w:w="490" w:type="dxa"/>
            <w:tcBorders>
              <w:top w:val="nil"/>
              <w:left w:val="single" w:color="auto" w:sz="8" w:space="0"/>
              <w:bottom w:val="single" w:color="auto" w:sz="8" w:space="0"/>
              <w:right w:val="single" w:color="auto" w:sz="4" w:space="0"/>
            </w:tcBorders>
            <w:noWrap w:val="0"/>
            <w:vAlign w:val="center"/>
          </w:tcPr>
          <w:p>
            <w:pPr>
              <w:widowControl/>
              <w:jc w:val="center"/>
              <w:rPr>
                <w:rFonts w:ascii="宋体" w:hAnsi="宋体" w:cs="Arial"/>
                <w:color w:val="000000"/>
                <w:sz w:val="18"/>
                <w:szCs w:val="18"/>
              </w:rPr>
            </w:pPr>
            <w:r>
              <w:rPr>
                <w:rFonts w:ascii="宋体" w:hAnsi="宋体" w:cs="Arial"/>
                <w:color w:val="000000"/>
                <w:sz w:val="18"/>
                <w:szCs w:val="18"/>
              </w:rPr>
              <w:t>3</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投标报价（10分）</w:t>
            </w:r>
          </w:p>
        </w:tc>
        <w:tc>
          <w:tcPr>
            <w:tcW w:w="693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报价得分=（评标基准价/报价）×价格权值×100</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r>
              <w:rPr>
                <w:rFonts w:hint="eastAsia" w:ascii="仿宋_GB2312" w:hAnsi="仿宋_GB2312" w:eastAsia="仿宋_GB2312" w:cs="仿宋_GB2312"/>
                <w:color w:val="000000"/>
                <w:sz w:val="18"/>
                <w:szCs w:val="18"/>
              </w:rPr>
              <w:t>10</w:t>
            </w:r>
          </w:p>
        </w:tc>
      </w:tr>
    </w:tbl>
    <w:p>
      <w:pPr>
        <w:spacing w:line="360" w:lineRule="auto"/>
        <w:jc w:val="both"/>
        <w:rPr>
          <w:rFonts w:ascii="仿宋" w:hAnsi="仿宋" w:eastAsia="仿宋" w:cs="宋体"/>
          <w:b/>
          <w:bCs/>
          <w:sz w:val="32"/>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roma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06EFD077"/>
    <w:rsid w:val="1FF7C9F3"/>
    <w:rsid w:val="258D77C5"/>
    <w:rsid w:val="37FA1A10"/>
    <w:rsid w:val="3EFB10D2"/>
    <w:rsid w:val="473506D4"/>
    <w:rsid w:val="4EFF4872"/>
    <w:rsid w:val="533B5485"/>
    <w:rsid w:val="5AF10265"/>
    <w:rsid w:val="6F57F168"/>
    <w:rsid w:val="7EBB8D2D"/>
    <w:rsid w:val="7FFF8711"/>
    <w:rsid w:val="AF8EA435"/>
    <w:rsid w:val="D5E970FD"/>
    <w:rsid w:val="DFF1A4FF"/>
    <w:rsid w:val="F5BB972E"/>
    <w:rsid w:val="F76D5576"/>
    <w:rsid w:val="FDF87BFC"/>
    <w:rsid w:val="FEFE0F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unhideWhenUsed/>
    <w:qFormat/>
    <w:uiPriority w:val="99"/>
    <w:rPr>
      <w:b/>
      <w:bCs/>
    </w:rPr>
  </w:style>
  <w:style w:type="character" w:styleId="9">
    <w:name w:val="annotation reference"/>
    <w:basedOn w:val="8"/>
    <w:unhideWhenUsed/>
    <w:qFormat/>
    <w:uiPriority w:val="99"/>
    <w:rPr>
      <w:sz w:val="21"/>
      <w:szCs w:val="21"/>
    </w:rPr>
  </w:style>
  <w:style w:type="paragraph" w:customStyle="1" w:styleId="10">
    <w:name w:val="List Paragraph"/>
    <w:basedOn w:val="1"/>
    <w:link w:val="13"/>
    <w:qFormat/>
    <w:uiPriority w:val="34"/>
    <w:pPr>
      <w:ind w:firstLine="420" w:firstLineChars="200"/>
    </w:pPr>
    <w:rPr>
      <w:rFonts w:ascii="Calibri" w:hAnsi="Calibri"/>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列出段落 Char"/>
    <w:link w:val="10"/>
    <w:qFormat/>
    <w:uiPriority w:val="34"/>
    <w:rPr>
      <w:rFonts w:ascii="Calibri" w:hAnsi="Calibri"/>
    </w:rPr>
  </w:style>
  <w:style w:type="character" w:customStyle="1" w:styleId="14">
    <w:name w:val="批注文字 Char"/>
    <w:basedOn w:val="8"/>
    <w:link w:val="2"/>
    <w:semiHidden/>
    <w:qFormat/>
    <w:uiPriority w:val="99"/>
  </w:style>
  <w:style w:type="character" w:customStyle="1" w:styleId="15">
    <w:name w:val="批注主题 Char"/>
    <w:basedOn w:val="14"/>
    <w:link w:val="6"/>
    <w:semiHidden/>
    <w:qFormat/>
    <w:uiPriority w:val="99"/>
    <w:rPr>
      <w:b/>
      <w:bCs/>
    </w:rPr>
  </w:style>
  <w:style w:type="character" w:customStyle="1" w:styleId="16">
    <w:name w:val="批注框文本 Char"/>
    <w:basedOn w:val="8"/>
    <w:link w:val="3"/>
    <w:semiHidden/>
    <w:qFormat/>
    <w:uiPriority w:val="99"/>
    <w:rPr>
      <w:sz w:val="18"/>
      <w:szCs w:val="18"/>
    </w:rPr>
  </w:style>
  <w:style w:type="character" w:customStyle="1" w:styleId="17">
    <w:name w:val="font3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1639</Words>
  <Characters>1705</Characters>
  <Lines>15</Lines>
  <Paragraphs>4</Paragraphs>
  <TotalTime>1</TotalTime>
  <ScaleCrop>false</ScaleCrop>
  <LinksUpToDate>false</LinksUpToDate>
  <CharactersWithSpaces>1705</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2022-04-22T20:00:00Z</dcterms:created>
  <dc:creator>强文晓</dc:creator>
  <cp:lastModifiedBy>admin</cp:lastModifiedBy>
  <cp:lastPrinted>2022-05-27T07:59:00Z</cp:lastPrinted>
  <dcterms:modified xsi:type="dcterms:W3CDTF">2023-06-13T18:59:01Z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C5C069B44ED14A5184518C148979D706</vt:lpwstr>
  </property>
</Properties>
</file>