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jc w:val="both"/>
        <w:textAlignment w:val="auto"/>
        <w:rPr>
          <w:rFonts w:hint="default" w:ascii="Times New Roman" w:hAnsi="Times New Roman" w:eastAsia="黑体" w:cs="Times New Roman"/>
          <w:i w:val="0"/>
          <w:caps w:val="0"/>
          <w:color w:val="auto"/>
          <w:spacing w:val="0"/>
          <w:kern w:val="0"/>
          <w:sz w:val="32"/>
          <w:szCs w:val="32"/>
          <w:shd w:val="clear" w:color="auto" w:fill="FFFFFF"/>
          <w:lang w:val="en-US" w:eastAsia="zh-CN" w:bidi="ar"/>
        </w:rPr>
      </w:pPr>
      <w:r>
        <w:rPr>
          <w:rFonts w:hint="default" w:ascii="Times New Roman" w:hAnsi="Times New Roman" w:eastAsia="黑体" w:cs="Times New Roman"/>
          <w:i w:val="0"/>
          <w:caps w:val="0"/>
          <w:color w:val="auto"/>
          <w:spacing w:val="0"/>
          <w:kern w:val="0"/>
          <w:sz w:val="32"/>
          <w:szCs w:val="32"/>
          <w:shd w:val="clear" w:color="auto" w:fill="FFFFFF"/>
          <w:lang w:val="en-US" w:eastAsia="zh-CN" w:bidi="ar"/>
        </w:rPr>
        <w:t>附件</w:t>
      </w:r>
      <w:r>
        <w:rPr>
          <w:rFonts w:hint="eastAsia" w:ascii="Times New Roman" w:hAnsi="Times New Roman" w:eastAsia="黑体" w:cs="Times New Roman"/>
          <w:i w:val="0"/>
          <w:caps w:val="0"/>
          <w:color w:val="auto"/>
          <w:spacing w:val="0"/>
          <w:kern w:val="0"/>
          <w:sz w:val="32"/>
          <w:szCs w:val="32"/>
          <w:shd w:val="clear" w:color="auto" w:fill="FFFFFF"/>
          <w:lang w:val="en-US" w:eastAsia="zh-CN" w:bidi="ar"/>
        </w:rPr>
        <w:t>2</w:t>
      </w:r>
      <w:r>
        <w:rPr>
          <w:rFonts w:hint="default" w:ascii="Times New Roman" w:hAnsi="Times New Roman" w:eastAsia="黑体" w:cs="Times New Roman"/>
          <w:i w:val="0"/>
          <w:caps w:val="0"/>
          <w:color w:val="auto"/>
          <w:spacing w:val="0"/>
          <w:kern w:val="0"/>
          <w:sz w:val="32"/>
          <w:szCs w:val="32"/>
          <w:shd w:val="clear" w:color="auto" w:fill="FFFFFF"/>
          <w:lang w:val="en-US" w:eastAsia="zh-CN" w:bidi="ar"/>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jc w:val="center"/>
        <w:textAlignment w:val="auto"/>
        <w:rPr>
          <w:rFonts w:hint="default" w:ascii="Times New Roman" w:hAnsi="Times New Roman" w:eastAsia="方正小标宋简体" w:cs="Times New Roman"/>
          <w:i w:val="0"/>
          <w:caps w:val="0"/>
          <w:color w:val="auto"/>
          <w:spacing w:val="0"/>
          <w:kern w:val="0"/>
          <w:sz w:val="44"/>
          <w:szCs w:val="44"/>
          <w:shd w:val="clear" w:color="auto" w:fill="FFFFFF"/>
          <w:lang w:val="en-US" w:eastAsia="zh-CN" w:bidi="ar"/>
        </w:rPr>
      </w:pPr>
      <w:r>
        <w:rPr>
          <w:rFonts w:hint="default" w:ascii="Times New Roman" w:hAnsi="Times New Roman" w:eastAsia="方正小标宋简体" w:cs="Times New Roman"/>
          <w:i w:val="0"/>
          <w:caps w:val="0"/>
          <w:color w:val="auto"/>
          <w:spacing w:val="0"/>
          <w:kern w:val="0"/>
          <w:sz w:val="44"/>
          <w:szCs w:val="44"/>
          <w:shd w:val="clear" w:color="auto" w:fill="FFFFFF"/>
          <w:lang w:val="en-US" w:eastAsia="zh-CN" w:bidi="ar"/>
        </w:rPr>
        <w:t>湖南省医保领域</w:t>
      </w:r>
      <w:r>
        <w:rPr>
          <w:rFonts w:hint="eastAsia" w:ascii="Times New Roman" w:hAnsi="Times New Roman" w:eastAsia="方正小标宋简体" w:cs="Times New Roman"/>
          <w:i w:val="0"/>
          <w:caps w:val="0"/>
          <w:color w:val="auto"/>
          <w:spacing w:val="0"/>
          <w:kern w:val="0"/>
          <w:sz w:val="44"/>
          <w:szCs w:val="44"/>
          <w:shd w:val="clear" w:color="auto" w:fill="FFFFFF"/>
          <w:lang w:val="en-US" w:eastAsia="zh-CN" w:bidi="ar"/>
        </w:rPr>
        <w:t>免</w:t>
      </w:r>
      <w:r>
        <w:rPr>
          <w:rFonts w:hint="default" w:ascii="Times New Roman" w:hAnsi="Times New Roman" w:eastAsia="方正小标宋简体" w:cs="Times New Roman"/>
          <w:i w:val="0"/>
          <w:caps w:val="0"/>
          <w:color w:val="auto"/>
          <w:spacing w:val="0"/>
          <w:kern w:val="0"/>
          <w:sz w:val="44"/>
          <w:szCs w:val="44"/>
          <w:shd w:val="clear" w:color="auto" w:fill="FFFFFF"/>
          <w:lang w:val="en-US" w:eastAsia="zh-CN" w:bidi="ar"/>
        </w:rPr>
        <w:t>予行政处罚清单</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9"/>
        <w:gridCol w:w="4688"/>
        <w:gridCol w:w="2579"/>
        <w:gridCol w:w="56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黑体" w:cs="Times New Roman"/>
                <w:i w:val="0"/>
                <w:iCs w:val="0"/>
                <w:color w:val="auto"/>
                <w:sz w:val="22"/>
                <w:szCs w:val="22"/>
                <w:u w:val="none"/>
              </w:rPr>
            </w:pPr>
            <w:bookmarkStart w:id="0" w:name="_GoBack"/>
            <w:r>
              <w:rPr>
                <w:rFonts w:hint="default" w:ascii="Times New Roman" w:hAnsi="Times New Roman" w:eastAsia="黑体" w:cs="Times New Roman"/>
                <w:i w:val="0"/>
                <w:iCs w:val="0"/>
                <w:color w:val="auto"/>
                <w:kern w:val="0"/>
                <w:sz w:val="22"/>
                <w:szCs w:val="22"/>
                <w:u w:val="none"/>
                <w:lang w:val="en-US" w:eastAsia="zh-CN" w:bidi="ar"/>
              </w:rPr>
              <w:t>序号</w:t>
            </w:r>
          </w:p>
        </w:tc>
        <w:tc>
          <w:tcPr>
            <w:tcW w:w="4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黑体" w:cs="Times New Roman"/>
                <w:i w:val="0"/>
                <w:iCs w:val="0"/>
                <w:color w:val="auto"/>
                <w:sz w:val="22"/>
                <w:szCs w:val="22"/>
                <w:u w:val="none"/>
                <w:lang w:val="en-US" w:eastAsia="zh-CN"/>
              </w:rPr>
            </w:pPr>
            <w:r>
              <w:rPr>
                <w:rFonts w:hint="eastAsia" w:ascii="Times New Roman" w:hAnsi="Times New Roman" w:eastAsia="黑体" w:cs="Times New Roman"/>
                <w:i w:val="0"/>
                <w:iCs w:val="0"/>
                <w:color w:val="auto"/>
                <w:sz w:val="22"/>
                <w:szCs w:val="22"/>
                <w:u w:val="none"/>
                <w:lang w:val="en-US" w:eastAsia="zh-CN"/>
              </w:rPr>
              <w:t>违法行为</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黑体" w:cs="Times New Roman"/>
                <w:i w:val="0"/>
                <w:iCs w:val="0"/>
                <w:color w:val="auto"/>
                <w:sz w:val="22"/>
                <w:szCs w:val="22"/>
                <w:u w:val="none"/>
                <w:lang w:val="en-US" w:eastAsia="zh-CN"/>
              </w:rPr>
            </w:pPr>
            <w:r>
              <w:rPr>
                <w:rFonts w:hint="eastAsia" w:ascii="Times New Roman" w:hAnsi="Times New Roman" w:eastAsia="黑体" w:cs="Times New Roman"/>
                <w:i w:val="0"/>
                <w:iCs w:val="0"/>
                <w:color w:val="auto"/>
                <w:sz w:val="22"/>
                <w:szCs w:val="22"/>
                <w:u w:val="none"/>
                <w:lang w:val="en-US" w:eastAsia="zh-CN"/>
              </w:rPr>
              <w:t>法律依据</w:t>
            </w:r>
          </w:p>
        </w:tc>
        <w:tc>
          <w:tcPr>
            <w:tcW w:w="5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黑体" w:cs="Times New Roman"/>
                <w:i w:val="0"/>
                <w:iCs w:val="0"/>
                <w:color w:val="auto"/>
                <w:sz w:val="22"/>
                <w:szCs w:val="22"/>
                <w:u w:val="none"/>
                <w:lang w:val="en-US" w:eastAsia="zh-CN"/>
              </w:rPr>
            </w:pPr>
            <w:r>
              <w:rPr>
                <w:rFonts w:hint="eastAsia" w:ascii="Times New Roman" w:hAnsi="Times New Roman" w:eastAsia="黑体" w:cs="Times New Roman"/>
                <w:i w:val="0"/>
                <w:iCs w:val="0"/>
                <w:color w:val="auto"/>
                <w:kern w:val="0"/>
                <w:sz w:val="22"/>
                <w:szCs w:val="22"/>
                <w:u w:val="none"/>
                <w:lang w:val="en-US" w:eastAsia="zh-CN" w:bidi="ar"/>
              </w:rPr>
              <w:t>免予处罚情形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jc w:val="center"/>
        </w:trPr>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4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color w:val="auto"/>
                <w:kern w:val="0"/>
                <w:sz w:val="21"/>
                <w:szCs w:val="21"/>
                <w:lang w:val="en-US" w:eastAsia="zh-CN" w:bidi="ar"/>
              </w:rPr>
              <w:t>定点医药机构存在下列行为：重复收费</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kern w:val="0"/>
                <w:sz w:val="21"/>
                <w:szCs w:val="21"/>
                <w:lang w:val="en-US" w:eastAsia="zh-CN" w:bidi="ar"/>
              </w:rPr>
              <w:t>超标准收费</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kern w:val="0"/>
                <w:sz w:val="21"/>
                <w:szCs w:val="21"/>
                <w:lang w:val="en-US" w:eastAsia="zh-CN" w:bidi="ar"/>
              </w:rPr>
              <w:t>分解项目收费</w:t>
            </w:r>
            <w:r>
              <w:rPr>
                <w:rFonts w:hint="default" w:ascii="Times New Roman" w:hAnsi="Times New Roman" w:cs="Times New Roman"/>
                <w:color w:val="auto"/>
                <w:sz w:val="21"/>
                <w:szCs w:val="21"/>
              </w:rPr>
              <w:t>。</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Times New Roman"/>
                <w:i w:val="0"/>
                <w:iCs w:val="0"/>
                <w:color w:val="auto"/>
                <w:sz w:val="22"/>
                <w:szCs w:val="22"/>
                <w:u w:val="none"/>
                <w:lang w:val="en-US" w:eastAsia="zh-CN"/>
              </w:rPr>
            </w:pPr>
            <w:r>
              <w:rPr>
                <w:rStyle w:val="7"/>
                <w:rFonts w:hint="eastAsia" w:ascii="仿宋_GB2312" w:hAnsi="仿宋_GB2312" w:eastAsia="仿宋_GB2312" w:cs="仿宋_GB2312"/>
                <w:b w:val="0"/>
                <w:bCs/>
                <w:color w:val="auto"/>
                <w:sz w:val="21"/>
                <w:szCs w:val="21"/>
                <w:lang w:eastAsia="zh-CN"/>
              </w:rPr>
              <w:t>《</w:t>
            </w:r>
            <w:r>
              <w:rPr>
                <w:rStyle w:val="7"/>
                <w:rFonts w:hint="eastAsia" w:ascii="仿宋_GB2312" w:hAnsi="仿宋_GB2312" w:eastAsia="仿宋_GB2312" w:cs="仿宋_GB2312"/>
                <w:b w:val="0"/>
                <w:bCs/>
                <w:color w:val="auto"/>
                <w:sz w:val="21"/>
                <w:szCs w:val="21"/>
              </w:rPr>
              <w:t>医疗保障基金使用监督管理条例</w:t>
            </w:r>
            <w:r>
              <w:rPr>
                <w:rStyle w:val="7"/>
                <w:rFonts w:hint="eastAsia" w:ascii="仿宋_GB2312" w:hAnsi="仿宋_GB2312" w:eastAsia="仿宋_GB2312" w:cs="仿宋_GB2312"/>
                <w:b w:val="0"/>
                <w:bCs/>
                <w:color w:val="auto"/>
                <w:sz w:val="21"/>
                <w:szCs w:val="21"/>
                <w:lang w:eastAsia="zh-CN"/>
              </w:rPr>
              <w:t>》第三十八条</w:t>
            </w:r>
          </w:p>
        </w:tc>
        <w:tc>
          <w:tcPr>
            <w:tcW w:w="5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符合下列行为之一的：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1、定点医药机构自查自纠发现</w:t>
            </w:r>
            <w:r>
              <w:rPr>
                <w:rFonts w:hint="eastAsia" w:ascii="Times New Roman" w:hAnsi="Times New Roman" w:cs="Times New Roman"/>
                <w:color w:val="auto"/>
                <w:kern w:val="0"/>
                <w:sz w:val="21"/>
                <w:szCs w:val="21"/>
                <w:lang w:val="en-US" w:eastAsia="zh-CN" w:bidi="ar"/>
              </w:rPr>
              <w:t>某项具体</w:t>
            </w:r>
            <w:r>
              <w:rPr>
                <w:rFonts w:hint="default" w:ascii="Times New Roman" w:hAnsi="Times New Roman" w:eastAsia="仿宋_GB2312" w:cs="Times New Roman"/>
                <w:color w:val="auto"/>
                <w:kern w:val="0"/>
                <w:sz w:val="21"/>
                <w:szCs w:val="21"/>
                <w:lang w:val="en-US" w:eastAsia="zh-CN" w:bidi="ar"/>
              </w:rPr>
              <w:t>违规</w:t>
            </w:r>
            <w:r>
              <w:rPr>
                <w:rFonts w:hint="eastAsia" w:ascii="Times New Roman" w:hAnsi="Times New Roman" w:cs="Times New Roman"/>
                <w:color w:val="auto"/>
                <w:kern w:val="0"/>
                <w:sz w:val="21"/>
                <w:szCs w:val="21"/>
                <w:lang w:val="en-US" w:eastAsia="zh-CN" w:bidi="ar"/>
              </w:rPr>
              <w:t>问题</w:t>
            </w:r>
            <w:r>
              <w:rPr>
                <w:rFonts w:hint="eastAsia" w:ascii="Times New Roman" w:hAnsi="Times New Roman" w:eastAsia="仿宋_GB2312" w:cs="Times New Roman"/>
                <w:color w:val="auto"/>
                <w:kern w:val="0"/>
                <w:sz w:val="21"/>
                <w:szCs w:val="21"/>
                <w:lang w:val="en-US" w:eastAsia="zh-CN" w:bidi="ar"/>
              </w:rPr>
              <w:t>后主动退回医保基金损失</w:t>
            </w:r>
            <w:r>
              <w:rPr>
                <w:rFonts w:hint="default" w:ascii="Times New Roman" w:hAnsi="Times New Roman" w:eastAsia="仿宋_GB2312" w:cs="Times New Roman"/>
                <w:color w:val="auto"/>
                <w:kern w:val="0"/>
                <w:sz w:val="21"/>
                <w:szCs w:val="21"/>
                <w:lang w:val="en-US" w:eastAsia="zh-CN" w:bidi="ar"/>
              </w:rPr>
              <w:t>，且自整改之日起，后续无此项</w:t>
            </w:r>
            <w:r>
              <w:rPr>
                <w:rFonts w:hint="eastAsia" w:ascii="Times New Roman" w:hAnsi="Times New Roman" w:cs="Times New Roman"/>
                <w:color w:val="auto"/>
                <w:kern w:val="0"/>
                <w:sz w:val="21"/>
                <w:szCs w:val="21"/>
                <w:lang w:val="en-US" w:eastAsia="zh-CN" w:bidi="ar"/>
              </w:rPr>
              <w:t>具体</w:t>
            </w:r>
            <w:r>
              <w:rPr>
                <w:rFonts w:hint="default" w:ascii="Times New Roman" w:hAnsi="Times New Roman" w:eastAsia="仿宋_GB2312" w:cs="Times New Roman"/>
                <w:color w:val="auto"/>
                <w:kern w:val="0"/>
                <w:sz w:val="21"/>
                <w:szCs w:val="21"/>
                <w:lang w:val="en-US" w:eastAsia="zh-CN" w:bidi="ar"/>
              </w:rPr>
              <w:t>违规问题的。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sz w:val="22"/>
                <w:szCs w:val="22"/>
                <w:u w:val="none"/>
                <w:lang w:val="en-US" w:eastAsia="zh-CN"/>
              </w:rPr>
            </w:pPr>
            <w:r>
              <w:rPr>
                <w:rFonts w:hint="default" w:ascii="Times New Roman" w:hAnsi="Times New Roman" w:eastAsia="仿宋_GB2312" w:cs="Times New Roman"/>
                <w:i w:val="0"/>
                <w:iCs w:val="0"/>
                <w:color w:val="auto"/>
                <w:kern w:val="2"/>
                <w:sz w:val="22"/>
                <w:szCs w:val="22"/>
                <w:lang w:val="en-US" w:eastAsia="zh-CN" w:bidi="ar-SA"/>
              </w:rPr>
              <w:t>2、</w:t>
            </w:r>
            <w:r>
              <w:rPr>
                <w:rFonts w:hint="default" w:ascii="Times New Roman" w:hAnsi="Times New Roman" w:eastAsia="仿宋_GB2312" w:cs="Times New Roman"/>
                <w:color w:val="auto"/>
                <w:kern w:val="0"/>
                <w:sz w:val="21"/>
                <w:szCs w:val="21"/>
                <w:lang w:val="en-US" w:eastAsia="zh-CN" w:bidi="ar"/>
              </w:rPr>
              <w:t>在检查过程中同时满足以下情形的：①</w:t>
            </w:r>
            <w:r>
              <w:rPr>
                <w:rFonts w:hint="eastAsia" w:ascii="Times New Roman" w:hAnsi="Times New Roman" w:cs="Times New Roman"/>
                <w:color w:val="auto"/>
                <w:kern w:val="0"/>
                <w:sz w:val="21"/>
                <w:szCs w:val="21"/>
                <w:lang w:val="en-US" w:eastAsia="zh-CN" w:bidi="ar"/>
              </w:rPr>
              <w:t>某项</w:t>
            </w:r>
            <w:r>
              <w:rPr>
                <w:rFonts w:hint="default" w:ascii="Times New Roman" w:hAnsi="Times New Roman" w:eastAsia="仿宋_GB2312" w:cs="Times New Roman"/>
                <w:color w:val="auto"/>
                <w:kern w:val="0"/>
                <w:sz w:val="21"/>
                <w:szCs w:val="21"/>
                <w:lang w:val="en-US" w:eastAsia="zh-CN" w:bidi="ar"/>
              </w:rPr>
              <w:t>具体违规</w:t>
            </w:r>
            <w:r>
              <w:rPr>
                <w:rFonts w:hint="eastAsia" w:ascii="Times New Roman" w:hAnsi="Times New Roman" w:cs="Times New Roman"/>
                <w:color w:val="auto"/>
                <w:kern w:val="0"/>
                <w:sz w:val="21"/>
                <w:szCs w:val="21"/>
                <w:lang w:val="en-US" w:eastAsia="zh-CN" w:bidi="ar"/>
              </w:rPr>
              <w:t>问题</w:t>
            </w:r>
            <w:r>
              <w:rPr>
                <w:rFonts w:hint="eastAsia" w:ascii="Times New Roman" w:hAnsi="Times New Roman" w:eastAsia="仿宋_GB2312" w:cs="Times New Roman"/>
                <w:color w:val="auto"/>
                <w:kern w:val="0"/>
                <w:sz w:val="21"/>
                <w:szCs w:val="21"/>
                <w:lang w:val="en-US" w:eastAsia="zh-CN" w:bidi="ar"/>
              </w:rPr>
              <w:t>两年内首次被发现的</w:t>
            </w:r>
            <w:r>
              <w:rPr>
                <w:rFonts w:hint="default" w:ascii="Times New Roman" w:hAnsi="Times New Roman" w:eastAsia="仿宋_GB2312" w:cs="Times New Roman"/>
                <w:color w:val="auto"/>
                <w:kern w:val="0"/>
                <w:sz w:val="21"/>
                <w:szCs w:val="21"/>
                <w:lang w:val="en-US" w:eastAsia="zh-CN" w:bidi="ar"/>
              </w:rPr>
              <w:t>。②在行政处罚立案前及时改正，主动退还</w:t>
            </w:r>
            <w:r>
              <w:rPr>
                <w:rFonts w:hint="eastAsia" w:ascii="Times New Roman" w:hAnsi="Times New Roman" w:eastAsia="仿宋_GB2312" w:cs="Times New Roman"/>
                <w:color w:val="auto"/>
                <w:kern w:val="0"/>
                <w:sz w:val="21"/>
                <w:szCs w:val="21"/>
                <w:lang w:val="en-US" w:eastAsia="zh-CN" w:bidi="ar"/>
              </w:rPr>
              <w:t>医保基金损失</w:t>
            </w:r>
            <w:r>
              <w:rPr>
                <w:rFonts w:hint="default" w:ascii="Times New Roman" w:hAnsi="Times New Roman" w:eastAsia="仿宋_GB2312" w:cs="Times New Roman"/>
                <w:color w:val="auto"/>
                <w:kern w:val="0"/>
                <w:sz w:val="21"/>
                <w:szCs w:val="21"/>
                <w:lang w:val="en-US" w:eastAsia="zh-CN" w:bidi="ar"/>
              </w:rPr>
              <w:t>的。③违法金额在</w:t>
            </w:r>
            <w:r>
              <w:rPr>
                <w:rFonts w:hint="eastAsia" w:ascii="Times New Roman" w:hAnsi="Times New Roman" w:eastAsia="仿宋_GB2312" w:cs="Times New Roman"/>
                <w:color w:val="auto"/>
                <w:kern w:val="0"/>
                <w:sz w:val="21"/>
                <w:szCs w:val="21"/>
                <w:lang w:val="en-US" w:eastAsia="zh-CN" w:bidi="ar"/>
              </w:rPr>
              <w:t>5</w:t>
            </w:r>
            <w:r>
              <w:rPr>
                <w:rFonts w:hint="default" w:ascii="Times New Roman" w:hAnsi="Times New Roman" w:eastAsia="仿宋_GB2312" w:cs="Times New Roman"/>
                <w:color w:val="auto"/>
                <w:kern w:val="0"/>
                <w:sz w:val="21"/>
                <w:szCs w:val="21"/>
                <w:lang w:val="en-US" w:eastAsia="zh-CN" w:bidi="ar"/>
              </w:rPr>
              <w:t>000元</w:t>
            </w:r>
            <w:r>
              <w:rPr>
                <w:rFonts w:hint="eastAsia" w:ascii="Times New Roman" w:hAnsi="Times New Roman" w:eastAsia="仿宋_GB2312" w:cs="Times New Roman"/>
                <w:color w:val="auto"/>
                <w:kern w:val="0"/>
                <w:sz w:val="21"/>
                <w:szCs w:val="21"/>
                <w:lang w:val="en-US" w:eastAsia="zh-CN" w:bidi="ar"/>
              </w:rPr>
              <w:t>（含）</w:t>
            </w:r>
            <w:r>
              <w:rPr>
                <w:rFonts w:hint="default" w:ascii="Times New Roman" w:hAnsi="Times New Roman" w:eastAsia="仿宋_GB2312" w:cs="Times New Roman"/>
                <w:color w:val="auto"/>
                <w:kern w:val="0"/>
                <w:sz w:val="21"/>
                <w:szCs w:val="21"/>
                <w:lang w:val="en-US" w:eastAsia="zh-CN" w:bidi="ar"/>
              </w:rPr>
              <w:t>以下，或造成的医保基金损失占上年度医保基金支付总额0.0</w:t>
            </w:r>
            <w:r>
              <w:rPr>
                <w:rFonts w:hint="eastAsia" w:ascii="Times New Roman" w:hAnsi="Times New Roman" w:cs="Times New Roman"/>
                <w:color w:val="auto"/>
                <w:kern w:val="0"/>
                <w:sz w:val="21"/>
                <w:szCs w:val="21"/>
                <w:lang w:val="en-US" w:eastAsia="zh-CN" w:bidi="ar"/>
              </w:rPr>
              <w:t>03</w:t>
            </w:r>
            <w:r>
              <w:rPr>
                <w:rFonts w:hint="default" w:ascii="Times New Roman" w:hAnsi="Times New Roman" w:eastAsia="仿宋_GB2312" w:cs="Times New Roman"/>
                <w:color w:val="auto"/>
                <w:kern w:val="0"/>
                <w:sz w:val="21"/>
                <w:szCs w:val="21"/>
                <w:lang w:val="en-US" w:eastAsia="zh-CN" w:bidi="ar"/>
              </w:rPr>
              <w:t>%</w:t>
            </w:r>
            <w:r>
              <w:rPr>
                <w:rFonts w:hint="eastAsia" w:ascii="Times New Roman" w:hAnsi="Times New Roman" w:eastAsia="仿宋_GB2312" w:cs="Times New Roman"/>
                <w:color w:val="auto"/>
                <w:kern w:val="0"/>
                <w:sz w:val="21"/>
                <w:szCs w:val="21"/>
                <w:lang w:val="en-US" w:eastAsia="zh-CN" w:bidi="ar"/>
              </w:rPr>
              <w:t>（含）</w:t>
            </w:r>
            <w:r>
              <w:rPr>
                <w:rFonts w:hint="default" w:ascii="Times New Roman" w:hAnsi="Times New Roman" w:eastAsia="仿宋_GB2312" w:cs="Times New Roman"/>
                <w:color w:val="auto"/>
                <w:kern w:val="0"/>
                <w:sz w:val="21"/>
                <w:szCs w:val="21"/>
                <w:lang w:val="en-US" w:eastAsia="zh-CN" w:bidi="ar"/>
              </w:rPr>
              <w:t>以下的。④积极配合检查</w:t>
            </w:r>
            <w:r>
              <w:rPr>
                <w:rFonts w:hint="eastAsia" w:ascii="Times New Roman" w:hAnsi="Times New Roman" w:cs="Times New Roman"/>
                <w:color w:val="auto"/>
                <w:kern w:val="0"/>
                <w:sz w:val="21"/>
                <w:szCs w:val="21"/>
                <w:lang w:val="en-US" w:eastAsia="zh-CN" w:bidi="ar"/>
              </w:rPr>
              <w:t>，如实陈述违法事实并主动提供证据材料的</w:t>
            </w:r>
            <w:r>
              <w:rPr>
                <w:rFonts w:hint="default" w:ascii="Times New Roman" w:hAnsi="Times New Roman" w:eastAsia="仿宋_GB2312" w:cs="Times New Roman"/>
                <w:color w:val="auto"/>
                <w:kern w:val="0"/>
                <w:sz w:val="21"/>
                <w:szCs w:val="21"/>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2" w:hRule="atLeast"/>
          <w:jc w:val="center"/>
        </w:trPr>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w:t>
            </w:r>
          </w:p>
        </w:tc>
        <w:tc>
          <w:tcPr>
            <w:tcW w:w="4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color w:val="auto"/>
                <w:kern w:val="2"/>
                <w:sz w:val="21"/>
                <w:szCs w:val="21"/>
                <w:lang w:val="en-US" w:eastAsia="zh-CN" w:bidi="ar-SA"/>
              </w:rPr>
              <w:t>定点医药机构有下列情形之一的：（一）未建立医疗保障基金使用内部管理制度，或者没有专门机构或者人员负责医疗保障基金使用管理工作；（二）未按照规定保管财务账目</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kern w:val="2"/>
                <w:sz w:val="21"/>
                <w:szCs w:val="21"/>
                <w:lang w:val="en-US" w:eastAsia="zh-CN" w:bidi="ar-SA"/>
              </w:rPr>
              <w:t>会计凭证</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kern w:val="2"/>
                <w:sz w:val="21"/>
                <w:szCs w:val="21"/>
                <w:lang w:val="en-US" w:eastAsia="zh-CN" w:bidi="ar-SA"/>
              </w:rPr>
              <w:t>处方</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kern w:val="2"/>
                <w:sz w:val="21"/>
                <w:szCs w:val="21"/>
                <w:lang w:val="en-US" w:eastAsia="zh-CN" w:bidi="ar-SA"/>
              </w:rPr>
              <w:t>病历</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kern w:val="2"/>
                <w:sz w:val="21"/>
                <w:szCs w:val="21"/>
                <w:lang w:val="en-US" w:eastAsia="zh-CN" w:bidi="ar-SA"/>
              </w:rPr>
              <w:t>治疗检查记录</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kern w:val="2"/>
                <w:sz w:val="21"/>
                <w:szCs w:val="21"/>
                <w:lang w:val="en-US" w:eastAsia="zh-CN" w:bidi="ar-SA"/>
              </w:rPr>
              <w:t>费用明细</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kern w:val="2"/>
                <w:sz w:val="21"/>
                <w:szCs w:val="21"/>
                <w:lang w:val="en-US" w:eastAsia="zh-CN" w:bidi="ar-SA"/>
              </w:rPr>
              <w:t>药品和医用耗材出入库记录等资料；（三）未按照规定通过医疗保障信息系统传送医疗保障基金使用有关数据；（四）未按照规定向医疗保障行政部门报告医疗保障基金使用监督管理所需信息；（五）未按照规定向社会公开医药费用</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kern w:val="2"/>
                <w:sz w:val="21"/>
                <w:szCs w:val="21"/>
                <w:lang w:val="en-US" w:eastAsia="zh-CN" w:bidi="ar-SA"/>
              </w:rPr>
              <w:t>费用结构等信息；（六）除急诊</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kern w:val="2"/>
                <w:sz w:val="21"/>
                <w:szCs w:val="21"/>
                <w:lang w:val="en-US" w:eastAsia="zh-CN" w:bidi="ar-SA"/>
              </w:rPr>
              <w:t>抢救等特殊情形外，未经参保人员或者其近亲属</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kern w:val="2"/>
                <w:sz w:val="21"/>
                <w:szCs w:val="21"/>
                <w:lang w:val="en-US" w:eastAsia="zh-CN" w:bidi="ar-SA"/>
              </w:rPr>
              <w:t>监护人同意提供医疗保障基金支付范围以外的医药服务；（七）拒绝医疗保障等行政部门监督检查或者提供虚假情况。</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sz w:val="22"/>
                <w:szCs w:val="22"/>
                <w:u w:val="none"/>
              </w:rPr>
            </w:pPr>
            <w:r>
              <w:rPr>
                <w:rStyle w:val="7"/>
                <w:rFonts w:hint="eastAsia" w:ascii="仿宋_GB2312" w:hAnsi="仿宋_GB2312" w:eastAsia="仿宋_GB2312" w:cs="仿宋_GB2312"/>
                <w:b w:val="0"/>
                <w:bCs/>
                <w:color w:val="auto"/>
                <w:sz w:val="21"/>
                <w:szCs w:val="21"/>
                <w:lang w:eastAsia="zh-CN"/>
              </w:rPr>
              <w:t>《</w:t>
            </w:r>
            <w:r>
              <w:rPr>
                <w:rStyle w:val="7"/>
                <w:rFonts w:hint="eastAsia" w:ascii="仿宋_GB2312" w:hAnsi="仿宋_GB2312" w:eastAsia="仿宋_GB2312" w:cs="仿宋_GB2312"/>
                <w:b w:val="0"/>
                <w:bCs/>
                <w:color w:val="auto"/>
                <w:sz w:val="21"/>
                <w:szCs w:val="21"/>
              </w:rPr>
              <w:t>医疗保障基金使用监督管理条例</w:t>
            </w:r>
            <w:r>
              <w:rPr>
                <w:rStyle w:val="7"/>
                <w:rFonts w:hint="eastAsia" w:ascii="仿宋_GB2312" w:hAnsi="仿宋_GB2312" w:eastAsia="仿宋_GB2312" w:cs="仿宋_GB2312"/>
                <w:b w:val="0"/>
                <w:bCs/>
                <w:color w:val="auto"/>
                <w:sz w:val="21"/>
                <w:szCs w:val="21"/>
                <w:lang w:eastAsia="zh-CN"/>
              </w:rPr>
              <w:t>》第三十九条</w:t>
            </w:r>
          </w:p>
        </w:tc>
        <w:tc>
          <w:tcPr>
            <w:tcW w:w="5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同时符合下列行为的：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1、</w:t>
            </w:r>
            <w:r>
              <w:rPr>
                <w:rFonts w:hint="eastAsia" w:ascii="Times New Roman" w:hAnsi="Times New Roman" w:eastAsia="仿宋_GB2312" w:cs="Times New Roman"/>
                <w:color w:val="auto"/>
                <w:kern w:val="0"/>
                <w:sz w:val="21"/>
                <w:szCs w:val="21"/>
                <w:lang w:val="en-US" w:eastAsia="zh-CN" w:bidi="ar"/>
              </w:rPr>
              <w:t>两年内首次被发现的</w:t>
            </w:r>
            <w:r>
              <w:rPr>
                <w:rFonts w:hint="default" w:ascii="Times New Roman" w:hAnsi="Times New Roman" w:eastAsia="仿宋_GB2312" w:cs="Times New Roman"/>
                <w:color w:val="auto"/>
                <w:kern w:val="0"/>
                <w:sz w:val="21"/>
                <w:szCs w:val="21"/>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2、在行政处罚立案前及时改正的。</w:t>
            </w:r>
          </w:p>
        </w:tc>
      </w:tr>
      <w:bookmarkEnd w:id="0"/>
    </w:tbl>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yOTJjNTUwMDliZTA3NTEzMjU4OTBiMmMzYzhlZDIifQ=="/>
    <w:docVar w:name="KSO_WPS_MARK_KEY" w:val="8d526bf9-4b57-4a51-ad0d-e62d9b8751d2"/>
  </w:docVars>
  <w:rsids>
    <w:rsidRoot w:val="00000000"/>
    <w:rsid w:val="1F2F59D8"/>
    <w:rsid w:val="5E630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Calibri" w:hAnsi="Calibri" w:eastAsia="仿宋_GB2312" w:cs="Times New Roman"/>
      <w:kern w:val="2"/>
      <w:sz w:val="32"/>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4">
    <w:name w:val="Normal (Web)"/>
    <w:basedOn w:val="1"/>
    <w:next w:val="3"/>
    <w:qFormat/>
    <w:uiPriority w:val="0"/>
    <w:pPr>
      <w:jc w:val="left"/>
    </w:pPr>
    <w:rPr>
      <w:rFonts w:ascii="Calibri" w:hAnsi="Calibri" w:eastAsia="宋体" w:cs="Times New Roman"/>
      <w:kern w:val="0"/>
      <w:sz w:val="24"/>
      <w:szCs w:val="24"/>
    </w:rPr>
  </w:style>
  <w:style w:type="character" w:styleId="7">
    <w:name w:val="Strong"/>
    <w:basedOn w:val="6"/>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639</Words>
  <Characters>647</Characters>
  <Lines>0</Lines>
  <Paragraphs>0</Paragraphs>
  <TotalTime>0</TotalTime>
  <ScaleCrop>false</ScaleCrop>
  <LinksUpToDate>false</LinksUpToDate>
  <CharactersWithSpaces>655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2024-05-21T07:25:00Z</dcterms:created>
  <dc:creator>Administrator</dc:creator>
  <cp:lastModifiedBy>好想吃糖油粑粑</cp:lastModifiedBy>
  <dcterms:modified xsi:type="dcterms:W3CDTF">2024-05-21T07:26:26Z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D553F9484B2D48B590D70A65C8EAAFBB_12</vt:lpwstr>
  </property>
</Properties>
</file>