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黑体" w:cs="Times New Roman"/>
          <w:kern w:val="0"/>
          <w:sz w:val="32"/>
          <w:szCs w:val="32"/>
          <w:lang w:val="en-US" w:eastAsia="zh-CN" w:bidi="ar-SA"/>
        </w:rPr>
        <w:t>附件1</w:t>
      </w:r>
      <w:r>
        <w:rPr>
          <w:rFonts w:hint="default" w:ascii="Times New Roman" w:hAnsi="Times New Roman" w:eastAsia="仿宋_GB2312" w:cs="Times New Roman"/>
          <w:kern w:val="0"/>
          <w:sz w:val="32"/>
          <w:szCs w:val="32"/>
          <w:lang w:val="en-US" w:eastAsia="zh-CN" w:bidi="ar-SA"/>
        </w:rPr>
        <w:t xml:space="preserve"> </w:t>
      </w:r>
    </w:p>
    <w:p>
      <w:pPr>
        <w:keepNext w:val="0"/>
        <w:keepLines w:val="0"/>
        <w:pageBreakBefore w:val="0"/>
        <w:wordWrap/>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36"/>
          <w:szCs w:val="36"/>
          <w:lang w:val="en-US" w:eastAsia="zh-CN"/>
        </w:rPr>
      </w:pPr>
    </w:p>
    <w:p>
      <w:pPr>
        <w:keepNext w:val="0"/>
        <w:keepLines w:val="0"/>
        <w:pageBreakBefore w:val="0"/>
        <w:wordWrap/>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中医优势专科联盟牵头和成员单位</w:t>
      </w:r>
    </w:p>
    <w:p>
      <w:pPr>
        <w:keepNext w:val="0"/>
        <w:keepLines w:val="0"/>
        <w:pageBreakBefore w:val="0"/>
        <w:wordWrap/>
        <w:topLinePunct w:val="0"/>
        <w:autoSpaceDE/>
        <w:autoSpaceDN/>
        <w:bidi w:val="0"/>
        <w:adjustRightInd/>
        <w:snapToGrid/>
        <w:spacing w:line="660" w:lineRule="exact"/>
        <w:jc w:val="center"/>
        <w:textAlignment w:val="auto"/>
        <w:rPr>
          <w:rFonts w:hint="default" w:ascii="Times New Roman" w:hAnsi="Times New Roman" w:eastAsia="仿宋_GB2312" w:cs="Times New Roman"/>
          <w:kern w:val="0"/>
          <w:sz w:val="44"/>
          <w:szCs w:val="44"/>
          <w:lang w:val="en-US" w:eastAsia="zh-CN" w:bidi="ar-SA"/>
        </w:rPr>
      </w:pPr>
      <w:r>
        <w:rPr>
          <w:rFonts w:hint="default" w:ascii="Times New Roman" w:hAnsi="Times New Roman" w:eastAsia="方正小标宋简体" w:cs="Times New Roman"/>
          <w:sz w:val="44"/>
          <w:szCs w:val="44"/>
          <w:lang w:val="en-US" w:eastAsia="zh-CN"/>
        </w:rPr>
        <w:t>具体任务目标</w:t>
      </w:r>
    </w:p>
    <w:p>
      <w:pPr>
        <w:keepNext w:val="0"/>
        <w:keepLines w:val="0"/>
        <w:pageBreakBefore w:val="0"/>
        <w:kinsoku/>
        <w:wordWrap/>
        <w:overflowPunct/>
        <w:topLinePunct w:val="0"/>
        <w:autoSpaceDE/>
        <w:autoSpaceDN/>
        <w:bidi w:val="0"/>
        <w:adjustRightInd/>
        <w:snapToGrid/>
        <w:spacing w:line="660" w:lineRule="exact"/>
        <w:ind w:firstLine="720" w:firstLineChars="225"/>
        <w:jc w:val="both"/>
        <w:textAlignment w:val="auto"/>
        <w:rPr>
          <w:rFonts w:hint="default" w:ascii="Times New Roman" w:hAnsi="Times New Roman" w:eastAsia="黑体" w:cs="Times New Roman"/>
          <w:bCs/>
          <w:sz w:val="32"/>
          <w:szCs w:val="32"/>
          <w:lang w:val="en-US" w:eastAsia="zh-CN"/>
        </w:rPr>
      </w:pPr>
    </w:p>
    <w:p>
      <w:pPr>
        <w:keepNext w:val="0"/>
        <w:keepLines w:val="0"/>
        <w:pageBreakBefore w:val="0"/>
        <w:kinsoku/>
        <w:wordWrap/>
        <w:overflowPunct/>
        <w:topLinePunct w:val="0"/>
        <w:autoSpaceDE/>
        <w:autoSpaceDN/>
        <w:bidi w:val="0"/>
        <w:adjustRightInd/>
        <w:snapToGrid/>
        <w:spacing w:line="660" w:lineRule="exact"/>
        <w:ind w:firstLine="720" w:firstLineChars="225"/>
        <w:jc w:val="both"/>
        <w:textAlignment w:val="auto"/>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一、中医优势专科联盟牵头单位</w:t>
      </w:r>
    </w:p>
    <w:p>
      <w:pPr>
        <w:keepNext w:val="0"/>
        <w:keepLines w:val="0"/>
        <w:pageBreakBefore w:val="0"/>
        <w:widowControl/>
        <w:suppressLineNumbers w:val="0"/>
        <w:wordWrap/>
        <w:topLinePunct w:val="0"/>
        <w:autoSpaceDE/>
        <w:autoSpaceDN/>
        <w:bidi w:val="0"/>
        <w:adjustRightInd/>
        <w:snapToGrid/>
        <w:spacing w:before="0" w:beforeAutospacing="0" w:after="0" w:afterAutospacing="0" w:line="660" w:lineRule="exact"/>
        <w:ind w:left="0" w:right="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sz w:val="32"/>
          <w:szCs w:val="32"/>
          <w:lang w:val="en-US" w:eastAsia="zh-CN"/>
        </w:rPr>
        <w:t>（一）医疗服务能力明显增强</w:t>
      </w:r>
      <w:r>
        <w:rPr>
          <w:rFonts w:hint="default" w:ascii="Times New Roman" w:hAnsi="Times New Roman" w:eastAsia="仿宋_GB2312" w:cs="Times New Roman"/>
          <w:kern w:val="0"/>
          <w:sz w:val="32"/>
          <w:szCs w:val="32"/>
          <w:lang w:val="en-US" w:eastAsia="zh-CN" w:bidi="ar-SA"/>
        </w:rPr>
        <w:t>。提高急危重症、疑难疾病诊疗能力和疗效水平，逐步拓展收治病种范围，开展的技术、诊疗病种和诊疗水平基本达到本区域同级别综合医院同专科的先进水平。住院疑难危重症患者比例居于本专业领先水平，区域外患者数量逐年增加，专科区域影响力不断扩大。</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sz w:val="32"/>
          <w:szCs w:val="32"/>
          <w:lang w:val="en-US" w:eastAsia="zh-CN"/>
        </w:rPr>
        <w:t>（二）中医药特色优势更加突出。</w:t>
      </w:r>
      <w:r>
        <w:rPr>
          <w:rFonts w:hint="default" w:ascii="Times New Roman" w:hAnsi="Times New Roman" w:eastAsia="仿宋_GB2312" w:cs="Times New Roman"/>
          <w:kern w:val="0"/>
          <w:sz w:val="32"/>
          <w:szCs w:val="32"/>
          <w:lang w:val="en-US" w:eastAsia="zh-CN" w:bidi="ar-SA"/>
        </w:rPr>
        <w:t>强化中医诊疗思维，将中医思维融入诊疗全过程，不断提高中医药在专科诊疗中的参与程度。提供以中医药服务为主的临床诊疗服务，门诊中药处方占比不低于60%，门诊中药饮片处方占比不低于35%，门诊患者中医非药物疗法使用比例不低于15%；出院患者中医非药物疗法使用比例不低于95%，并处在本专业的前列。按病种付费的中医单病种病例数逐年提高，以中医为主治疗的出院患者比例逐年提升。在建设周期内，本专科的医疗机构制剂使用量逐年递增并有新增品种。</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sz w:val="32"/>
          <w:szCs w:val="32"/>
          <w:lang w:val="en-US" w:eastAsia="zh-CN"/>
        </w:rPr>
        <w:t>（三）人才队伍建设更趋合理。</w:t>
      </w:r>
      <w:r>
        <w:rPr>
          <w:rFonts w:hint="default" w:ascii="Times New Roman" w:hAnsi="Times New Roman" w:eastAsia="仿宋_GB2312" w:cs="Times New Roman"/>
          <w:kern w:val="0"/>
          <w:sz w:val="32"/>
          <w:szCs w:val="32"/>
          <w:lang w:val="en-US" w:eastAsia="zh-CN" w:bidi="ar-SA"/>
        </w:rPr>
        <w:t>选优配强专科负责人，专科带头人的学术地位不断提升，坚持引进与培养相结合，鼓励“柔性引进”模式引进高层次人才，形成高层次人才引领、骨干人才担当、后备人才充足、结构科学合理的人才梯队。专科中医类别执业医师占比不低于65%，非中医类别执业医师全部参加西学中培训。</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sz w:val="32"/>
          <w:szCs w:val="32"/>
          <w:lang w:val="en-US" w:eastAsia="zh-CN"/>
        </w:rPr>
        <w:t>（四）科研创新能力得到新的提升。</w:t>
      </w:r>
      <w:r>
        <w:rPr>
          <w:rFonts w:hint="default" w:ascii="Times New Roman" w:hAnsi="Times New Roman" w:eastAsia="仿宋_GB2312" w:cs="Times New Roman"/>
          <w:kern w:val="0"/>
          <w:sz w:val="32"/>
          <w:szCs w:val="32"/>
          <w:lang w:val="en-US" w:eastAsia="zh-CN" w:bidi="ar-SA"/>
        </w:rPr>
        <w:t xml:space="preserve">围绕临床问题开展科研工作，有明确、稳定的攻关方向，将成熟的中医诊疗方案、技术操作规范等推广应用。鼓励开展中医医疗技术、治疗方法创新，鼓励研发医疗机构中药制剂、中药新药和新型中医诊疗设备。开展名老中医或学术带头人中医查房，加强其学术思想、临床经验和特色技术的传承，3年建设周期内，牵头获得至少1项省级及以上科研计划项目，发表高水平的临床研究论文不少于3篇。 </w:t>
      </w:r>
    </w:p>
    <w:p>
      <w:pPr>
        <w:keepNext w:val="0"/>
        <w:keepLines w:val="0"/>
        <w:pageBreakBefore w:val="0"/>
        <w:wordWrap/>
        <w:topLinePunct w:val="0"/>
        <w:autoSpaceDE/>
        <w:autoSpaceDN/>
        <w:bidi w:val="0"/>
        <w:adjustRightInd/>
        <w:snapToGrid/>
        <w:spacing w:line="660" w:lineRule="exact"/>
        <w:ind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sz w:val="32"/>
          <w:szCs w:val="32"/>
          <w:lang w:val="en-US" w:eastAsia="zh-CN"/>
        </w:rPr>
        <w:t>（五）专科管理水平更加精细高效。</w:t>
      </w:r>
      <w:r>
        <w:rPr>
          <w:rFonts w:hint="default" w:ascii="Times New Roman" w:hAnsi="Times New Roman" w:eastAsia="仿宋_GB2312" w:cs="Times New Roman"/>
          <w:kern w:val="0"/>
          <w:sz w:val="32"/>
          <w:szCs w:val="32"/>
          <w:lang w:val="en-US" w:eastAsia="zh-CN" w:bidi="ar-SA"/>
        </w:rPr>
        <w:t>及时掌握本专业领域医疗技术发展最新进展情况，促进本专业医疗质量和医疗技术水平的提高，加强医疗质量控制，不断提高质量控制和管理水平，指导开展本专业临床路径、单病种管理等；创新高效的中医诊疗模式，开展多学科联合诊疗，建设周期内有新增亚专科或学组。专科中医病历质量、中药处方格式及书写等中医医疗质量控制指标符合三级甲等中医医院评审相关要求，在建设周期内无医疗事故，医疗质量在全院处于领先水平。</w:t>
      </w:r>
    </w:p>
    <w:p>
      <w:pPr>
        <w:keepNext w:val="0"/>
        <w:keepLines w:val="0"/>
        <w:pageBreakBefore w:val="0"/>
        <w:kinsoku/>
        <w:wordWrap/>
        <w:overflowPunct/>
        <w:topLinePunct w:val="0"/>
        <w:autoSpaceDE/>
        <w:autoSpaceDN/>
        <w:bidi w:val="0"/>
        <w:adjustRightInd/>
        <w:snapToGrid/>
        <w:spacing w:line="660" w:lineRule="exact"/>
        <w:ind w:firstLine="720" w:firstLineChars="225"/>
        <w:jc w:val="both"/>
        <w:textAlignment w:val="auto"/>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二、成员单位</w:t>
      </w:r>
    </w:p>
    <w:p>
      <w:pPr>
        <w:keepNext w:val="0"/>
        <w:keepLines w:val="0"/>
        <w:pageBreakBefore w:val="0"/>
        <w:wordWrap/>
        <w:topLinePunct w:val="0"/>
        <w:autoSpaceDE/>
        <w:autoSpaceDN/>
        <w:bidi w:val="0"/>
        <w:adjustRightInd/>
        <w:snapToGrid/>
        <w:spacing w:line="660" w:lineRule="exact"/>
        <w:ind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sz w:val="32"/>
          <w:szCs w:val="32"/>
          <w:lang w:val="en-US" w:eastAsia="zh-CN"/>
        </w:rPr>
        <w:t>（一）医疗服务能力提升方面。</w:t>
      </w:r>
      <w:r>
        <w:rPr>
          <w:rFonts w:hint="default" w:ascii="Times New Roman" w:hAnsi="Times New Roman" w:eastAsia="仿宋_GB2312" w:cs="Times New Roman"/>
          <w:kern w:val="0"/>
          <w:sz w:val="32"/>
          <w:szCs w:val="32"/>
          <w:lang w:val="en-US" w:eastAsia="zh-CN" w:bidi="ar-SA"/>
        </w:rPr>
        <w:t>提高专科常见病、多发病诊疗能力和疗效水平，诊治病种范围逐年扩大，专科年门诊人次、年出院人次呈逐年增加趋势。</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sz w:val="32"/>
          <w:szCs w:val="32"/>
          <w:lang w:val="en-US" w:eastAsia="zh-CN"/>
        </w:rPr>
        <w:t>（二）中医药特色优势发挥方面。</w:t>
      </w:r>
      <w:r>
        <w:rPr>
          <w:rFonts w:hint="default" w:ascii="Times New Roman" w:hAnsi="Times New Roman" w:eastAsia="仿宋_GB2312" w:cs="Times New Roman"/>
          <w:kern w:val="0"/>
          <w:sz w:val="32"/>
          <w:szCs w:val="32"/>
          <w:lang w:val="en-US" w:eastAsia="zh-CN" w:bidi="ar-SA"/>
        </w:rPr>
        <w:t>门诊中药处方占比不低于60%，门诊中药饮片处方占比不低于35%，门诊患者中医非药物疗法使用比例不低于15%、出院患者中医非药物疗法使用比例不低于95%。按病种付费的中医单病种病例数逐年提高，以中医为主治疗的出院患者比例逐年提升。在建设周期内，本专科的医疗机构制剂（含调剂）使用量逐年递增。</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sz w:val="32"/>
          <w:szCs w:val="32"/>
          <w:lang w:val="en-US" w:eastAsia="zh-CN"/>
        </w:rPr>
        <w:t>（三）县域龙头示范带动方面。</w:t>
      </w:r>
      <w:r>
        <w:rPr>
          <w:rFonts w:hint="default" w:ascii="Times New Roman" w:hAnsi="Times New Roman" w:eastAsia="仿宋_GB2312" w:cs="Times New Roman"/>
          <w:kern w:val="0"/>
          <w:sz w:val="32"/>
          <w:szCs w:val="32"/>
          <w:lang w:val="en-US" w:eastAsia="zh-CN" w:bidi="ar-SA"/>
        </w:rPr>
        <w:t xml:space="preserve">对辖区内基层医疗卫生机构提供技术帮扶，在一个建设周期内，推广本专业中医适宜技术不少于3项，并至少接收基层医疗卫生机构2人进修。 </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楷体_GB2312" w:cs="Times New Roman"/>
          <w:sz w:val="32"/>
          <w:szCs w:val="32"/>
          <w:lang w:val="en-US" w:eastAsia="zh-CN"/>
        </w:rPr>
        <w:t>（四）人才队伍建设方面。</w:t>
      </w:r>
      <w:r>
        <w:rPr>
          <w:rFonts w:hint="default" w:ascii="Times New Roman" w:hAnsi="Times New Roman" w:eastAsia="仿宋_GB2312" w:cs="Times New Roman"/>
          <w:kern w:val="0"/>
          <w:sz w:val="32"/>
          <w:szCs w:val="32"/>
          <w:lang w:val="en-US" w:eastAsia="zh-CN" w:bidi="ar-SA"/>
        </w:rPr>
        <w:t>有较为合理的专科人才梯队，中医类别执业医师占比不低于60%，非中医类别执业医师参加西学中培训率不低于90%。</w:t>
      </w:r>
    </w:p>
    <w:p>
      <w:r>
        <w:rPr>
          <w:rFonts w:hint="default" w:ascii="Times New Roman" w:hAnsi="Times New Roman" w:eastAsia="楷体_GB2312" w:cs="Times New Roman"/>
          <w:sz w:val="32"/>
          <w:szCs w:val="32"/>
          <w:lang w:val="en-US" w:eastAsia="zh-CN"/>
        </w:rPr>
        <w:t>（五）科室综合管理方面。</w:t>
      </w:r>
      <w:r>
        <w:rPr>
          <w:rFonts w:hint="default" w:ascii="Times New Roman" w:hAnsi="Times New Roman" w:eastAsia="仿宋_GB2312" w:cs="Times New Roman"/>
          <w:kern w:val="0"/>
          <w:sz w:val="32"/>
          <w:szCs w:val="32"/>
          <w:lang w:val="en-US" w:eastAsia="zh-CN" w:bidi="ar-SA"/>
        </w:rPr>
        <w:t>制定以实施优势病种中医诊疗方案为主要内容，以提高中医临床疗效、发挥中医药特色优势为总体目标的专科建设年度工作计划和具体措施，建立考核和奖惩激励机制。平均住院日等指标逐年降低，床位使用率逐年提高。</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A6C92"/>
    <w:rsid w:val="202A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2024-12-05T06:37:00Z</dcterms:created>
  <dc:creator>xxzx</dc:creator>
  <cp:lastModifiedBy>xxzx</cp:lastModifiedBy>
  <dcterms:modified xsi:type="dcterms:W3CDTF">2024-12-05T06:38:47Z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