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D4" w:rsidRDefault="005251D4" w:rsidP="005251D4">
      <w:pPr>
        <w:adjustRightInd w:val="0"/>
        <w:snapToGrid w:val="0"/>
        <w:spacing w:line="600" w:lineRule="exact"/>
        <w:jc w:val="left"/>
        <w:rPr>
          <w:rFonts w:ascii="Times New Roman" w:eastAsia="黑体" w:hAnsi="Times New Roman"/>
          <w:w w:val="95"/>
          <w:sz w:val="32"/>
          <w:szCs w:val="32"/>
        </w:rPr>
      </w:pPr>
      <w:r>
        <w:rPr>
          <w:rFonts w:ascii="Times New Roman" w:eastAsia="黑体" w:hAnsi="Times New Roman"/>
          <w:w w:val="95"/>
          <w:sz w:val="32"/>
          <w:szCs w:val="32"/>
        </w:rPr>
        <w:t>附件</w:t>
      </w:r>
      <w:r>
        <w:rPr>
          <w:rFonts w:ascii="Times New Roman" w:eastAsia="黑体" w:hAnsi="Times New Roman"/>
          <w:w w:val="95"/>
          <w:sz w:val="32"/>
          <w:szCs w:val="32"/>
        </w:rPr>
        <w:t>1</w:t>
      </w:r>
    </w:p>
    <w:tbl>
      <w:tblPr>
        <w:tblW w:w="13185" w:type="dxa"/>
        <w:tblInd w:w="-1" w:type="dxa"/>
        <w:tblLayout w:type="fixed"/>
        <w:tblCellMar>
          <w:left w:w="0" w:type="dxa"/>
          <w:right w:w="0" w:type="dxa"/>
        </w:tblCellMar>
        <w:tblLook w:val="0000" w:firstRow="0" w:lastRow="0" w:firstColumn="0" w:lastColumn="0" w:noHBand="0" w:noVBand="0"/>
      </w:tblPr>
      <w:tblGrid>
        <w:gridCol w:w="1170"/>
        <w:gridCol w:w="1710"/>
        <w:gridCol w:w="4245"/>
        <w:gridCol w:w="5040"/>
        <w:gridCol w:w="1020"/>
      </w:tblGrid>
      <w:tr w:rsidR="005251D4" w:rsidTr="00955ED6">
        <w:trPr>
          <w:trHeight w:val="942"/>
        </w:trPr>
        <w:tc>
          <w:tcPr>
            <w:tcW w:w="13185" w:type="dxa"/>
            <w:gridSpan w:val="5"/>
            <w:tcBorders>
              <w:top w:val="nil"/>
              <w:left w:val="nil"/>
              <w:bottom w:val="nil"/>
              <w:right w:val="nil"/>
            </w:tcBorders>
            <w:noWrap/>
            <w:tcMar>
              <w:top w:w="12" w:type="dxa"/>
              <w:left w:w="12" w:type="dxa"/>
              <w:right w:w="12" w:type="dxa"/>
            </w:tcMar>
            <w:vAlign w:val="center"/>
          </w:tcPr>
          <w:p w:rsidR="005251D4" w:rsidRDefault="005251D4" w:rsidP="00955ED6">
            <w:pPr>
              <w:widowControl/>
              <w:jc w:val="center"/>
              <w:textAlignment w:val="center"/>
              <w:rPr>
                <w:rFonts w:ascii="Times New Roman" w:eastAsia="方正小标宋简体" w:hAnsi="Times New Roman"/>
                <w:sz w:val="40"/>
                <w:szCs w:val="40"/>
              </w:rPr>
            </w:pPr>
            <w:bookmarkStart w:id="0" w:name="_GoBack"/>
            <w:r>
              <w:rPr>
                <w:rFonts w:ascii="Times New Roman" w:eastAsia="方正小标宋简体" w:hAnsi="Times New Roman"/>
                <w:kern w:val="0"/>
                <w:sz w:val="40"/>
                <w:szCs w:val="40"/>
              </w:rPr>
              <w:t>自治区老年友善二级医疗机构建设评价标准</w:t>
            </w:r>
            <w:bookmarkEnd w:id="0"/>
          </w:p>
        </w:tc>
      </w:tr>
      <w:tr w:rsidR="005251D4" w:rsidTr="00955ED6">
        <w:trPr>
          <w:trHeight w:val="499"/>
        </w:trPr>
        <w:tc>
          <w:tcPr>
            <w:tcW w:w="11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eastAsia="黑体" w:hAnsi="Times New Roman"/>
                <w:sz w:val="24"/>
              </w:rPr>
            </w:pPr>
            <w:r>
              <w:rPr>
                <w:rFonts w:ascii="Times New Roman" w:eastAsia="黑体" w:hAnsi="Times New Roman"/>
                <w:kern w:val="0"/>
                <w:sz w:val="24"/>
              </w:rPr>
              <w:t>评价项目</w:t>
            </w:r>
          </w:p>
        </w:tc>
        <w:tc>
          <w:tcPr>
            <w:tcW w:w="17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eastAsia="黑体" w:hAnsi="Times New Roman"/>
                <w:sz w:val="24"/>
              </w:rPr>
            </w:pPr>
            <w:r>
              <w:rPr>
                <w:rFonts w:ascii="Times New Roman" w:eastAsia="黑体" w:hAnsi="Times New Roman"/>
                <w:kern w:val="0"/>
                <w:sz w:val="24"/>
              </w:rPr>
              <w:t>评价内容</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eastAsia="黑体" w:hAnsi="Times New Roman"/>
                <w:sz w:val="24"/>
              </w:rPr>
            </w:pPr>
            <w:r>
              <w:rPr>
                <w:rFonts w:ascii="Times New Roman" w:eastAsia="黑体" w:hAnsi="Times New Roman"/>
                <w:kern w:val="0"/>
                <w:sz w:val="24"/>
              </w:rPr>
              <w:t>评价要点及评分标准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eastAsia="黑体" w:hAnsi="Times New Roman"/>
                <w:sz w:val="24"/>
              </w:rPr>
            </w:pPr>
            <w:r>
              <w:rPr>
                <w:rFonts w:ascii="Times New Roman" w:eastAsia="黑体" w:hAnsi="Times New Roman"/>
                <w:kern w:val="0"/>
                <w:sz w:val="24"/>
              </w:rPr>
              <w:t>评价方法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eastAsia="黑体" w:hAnsi="Times New Roman"/>
                <w:sz w:val="24"/>
              </w:rPr>
            </w:pPr>
            <w:r>
              <w:rPr>
                <w:rFonts w:ascii="Times New Roman" w:eastAsia="黑体" w:hAnsi="Times New Roman"/>
                <w:kern w:val="0"/>
                <w:sz w:val="24"/>
              </w:rPr>
              <w:t>得分</w:t>
            </w:r>
          </w:p>
        </w:tc>
      </w:tr>
      <w:tr w:rsidR="005251D4" w:rsidTr="00955ED6">
        <w:trPr>
          <w:trHeight w:val="499"/>
        </w:trPr>
        <w:tc>
          <w:tcPr>
            <w:tcW w:w="117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一、老年友善文化（</w:t>
            </w:r>
            <w:r>
              <w:rPr>
                <w:rFonts w:ascii="Times New Roman" w:hAnsi="Times New Roman"/>
                <w:kern w:val="0"/>
                <w:sz w:val="20"/>
                <w:szCs w:val="20"/>
              </w:rPr>
              <w:t>10</w:t>
            </w:r>
            <w:r>
              <w:rPr>
                <w:rFonts w:ascii="Times New Roman" w:hAnsi="Times New Roman"/>
                <w:kern w:val="0"/>
                <w:sz w:val="20"/>
                <w:szCs w:val="20"/>
              </w:rPr>
              <w:t>分）</w:t>
            </w: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left"/>
              <w:textAlignment w:val="center"/>
              <w:rPr>
                <w:rFonts w:ascii="Times New Roman" w:hAnsi="Times New Roman"/>
                <w:sz w:val="20"/>
                <w:szCs w:val="20"/>
              </w:rPr>
            </w:pPr>
            <w:r>
              <w:rPr>
                <w:rFonts w:ascii="Times New Roman" w:hAnsi="Times New Roman"/>
                <w:kern w:val="0"/>
                <w:sz w:val="20"/>
                <w:szCs w:val="20"/>
              </w:rPr>
              <w:t>1.</w:t>
            </w:r>
            <w:r>
              <w:rPr>
                <w:rFonts w:ascii="Times New Roman" w:hAnsi="Times New Roman"/>
                <w:kern w:val="0"/>
                <w:sz w:val="20"/>
                <w:szCs w:val="20"/>
              </w:rPr>
              <w:t>文化建设（</w:t>
            </w:r>
            <w:r>
              <w:rPr>
                <w:rFonts w:ascii="Times New Roman" w:hAnsi="Times New Roman"/>
                <w:kern w:val="0"/>
                <w:sz w:val="20"/>
                <w:szCs w:val="20"/>
              </w:rPr>
              <w:t>3</w:t>
            </w:r>
            <w:r>
              <w:rPr>
                <w:rFonts w:ascii="Times New Roman" w:hAnsi="Times New Roman"/>
                <w:kern w:val="0"/>
                <w:sz w:val="20"/>
                <w:szCs w:val="20"/>
              </w:rPr>
              <w:t>分）</w:t>
            </w:r>
          </w:p>
        </w:tc>
        <w:tc>
          <w:tcPr>
            <w:tcW w:w="424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1.1  </w:t>
            </w:r>
            <w:proofErr w:type="gramStart"/>
            <w:r>
              <w:rPr>
                <w:rFonts w:ascii="Times New Roman" w:hAnsi="Times New Roman"/>
                <w:w w:val="80"/>
                <w:kern w:val="0"/>
                <w:sz w:val="20"/>
                <w:szCs w:val="20"/>
              </w:rPr>
              <w:t>医院愿景或</w:t>
            </w:r>
            <w:proofErr w:type="gramEnd"/>
            <w:r>
              <w:rPr>
                <w:rFonts w:ascii="Times New Roman" w:hAnsi="Times New Roman"/>
                <w:w w:val="80"/>
                <w:kern w:val="0"/>
                <w:sz w:val="20"/>
                <w:szCs w:val="20"/>
              </w:rPr>
              <w:t>文化中有关爱</w:t>
            </w:r>
            <w:r>
              <w:rPr>
                <w:rStyle w:val="font21"/>
                <w:rFonts w:ascii="Times New Roman" w:hAnsi="Times New Roman" w:cs="Times New Roman" w:hint="default"/>
                <w:color w:val="auto"/>
                <w:w w:val="80"/>
              </w:rPr>
              <w:t>老年人，致力于提升老年人健康、尊严等的内容。（</w:t>
            </w:r>
            <w:r>
              <w:rPr>
                <w:rStyle w:val="font21"/>
                <w:rFonts w:ascii="Times New Roman" w:hAnsi="Times New Roman" w:cs="Times New Roman" w:hint="default"/>
                <w:color w:val="auto"/>
                <w:w w:val="80"/>
              </w:rPr>
              <w:t>2</w:t>
            </w:r>
            <w:r>
              <w:rPr>
                <w:rStyle w:val="font21"/>
                <w:rFonts w:ascii="Times New Roman" w:hAnsi="Times New Roman" w:cs="Times New Roman" w:hint="default"/>
                <w:color w:val="auto"/>
                <w:w w:val="80"/>
              </w:rPr>
              <w:t>分）</w:t>
            </w:r>
          </w:p>
        </w:tc>
        <w:tc>
          <w:tcPr>
            <w:tcW w:w="504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left"/>
              <w:textAlignment w:val="center"/>
              <w:rPr>
                <w:rFonts w:ascii="Times New Roman" w:hAnsi="Times New Roman"/>
                <w:w w:val="80"/>
                <w:sz w:val="20"/>
                <w:szCs w:val="20"/>
              </w:rPr>
            </w:pPr>
            <w:r>
              <w:rPr>
                <w:rFonts w:ascii="Times New Roman" w:hAnsi="Times New Roman"/>
                <w:w w:val="80"/>
                <w:kern w:val="0"/>
                <w:sz w:val="20"/>
                <w:szCs w:val="20"/>
              </w:rPr>
              <w:t>查看医院网站、</w:t>
            </w:r>
            <w:proofErr w:type="gramStart"/>
            <w:r>
              <w:rPr>
                <w:rFonts w:ascii="Times New Roman" w:hAnsi="Times New Roman"/>
                <w:w w:val="80"/>
                <w:kern w:val="0"/>
                <w:sz w:val="20"/>
                <w:szCs w:val="20"/>
              </w:rPr>
              <w:t>微信公众号</w:t>
            </w:r>
            <w:proofErr w:type="gramEnd"/>
            <w:r>
              <w:rPr>
                <w:rFonts w:ascii="Times New Roman" w:hAnsi="Times New Roman"/>
                <w:w w:val="80"/>
                <w:kern w:val="0"/>
                <w:sz w:val="20"/>
                <w:szCs w:val="20"/>
              </w:rPr>
              <w:t>、局域网络电视的医院文化板块；查阅医院宣传资料、院徽、</w:t>
            </w:r>
            <w:proofErr w:type="gramStart"/>
            <w:r>
              <w:rPr>
                <w:rFonts w:ascii="Times New Roman" w:hAnsi="Times New Roman"/>
                <w:w w:val="80"/>
                <w:kern w:val="0"/>
                <w:sz w:val="20"/>
                <w:szCs w:val="20"/>
              </w:rPr>
              <w:t>院标等上</w:t>
            </w:r>
            <w:proofErr w:type="gramEnd"/>
            <w:r>
              <w:rPr>
                <w:rFonts w:ascii="Times New Roman" w:hAnsi="Times New Roman"/>
                <w:w w:val="80"/>
                <w:kern w:val="0"/>
                <w:sz w:val="20"/>
                <w:szCs w:val="20"/>
              </w:rPr>
              <w:t>有无体现尊老、爱老的文化内容。</w:t>
            </w:r>
          </w:p>
        </w:tc>
        <w:tc>
          <w:tcPr>
            <w:tcW w:w="102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4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sz w:val="20"/>
                <w:szCs w:val="20"/>
              </w:rPr>
            </w:pPr>
          </w:p>
        </w:tc>
        <w:tc>
          <w:tcPr>
            <w:tcW w:w="424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w w:val="80"/>
                <w:sz w:val="20"/>
                <w:szCs w:val="20"/>
              </w:rPr>
            </w:pPr>
          </w:p>
        </w:tc>
        <w:tc>
          <w:tcPr>
            <w:tcW w:w="504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w w:val="80"/>
                <w:sz w:val="20"/>
                <w:szCs w:val="20"/>
              </w:rPr>
            </w:pPr>
          </w:p>
        </w:tc>
        <w:tc>
          <w:tcPr>
            <w:tcW w:w="102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61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1.2  </w:t>
            </w:r>
            <w:r>
              <w:rPr>
                <w:rFonts w:ascii="Times New Roman" w:hAnsi="Times New Roman"/>
                <w:w w:val="80"/>
                <w:kern w:val="0"/>
                <w:sz w:val="20"/>
                <w:szCs w:val="20"/>
              </w:rPr>
              <w:t>职工手册、行为守则等规范中有对老年人态度、行为、礼貌用语等的要求。（</w:t>
            </w:r>
            <w:r>
              <w:rPr>
                <w:rFonts w:ascii="Times New Roman" w:hAnsi="Times New Roman"/>
                <w:w w:val="80"/>
                <w:kern w:val="0"/>
                <w:sz w:val="20"/>
                <w:szCs w:val="20"/>
              </w:rPr>
              <w:t>1</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查看医院职工手册、宣传材料等上有无相关内容。</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02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left"/>
              <w:textAlignment w:val="center"/>
              <w:rPr>
                <w:rFonts w:ascii="Times New Roman" w:hAnsi="Times New Roman"/>
                <w:sz w:val="20"/>
                <w:szCs w:val="20"/>
              </w:rPr>
            </w:pPr>
            <w:r>
              <w:rPr>
                <w:rFonts w:ascii="Times New Roman" w:hAnsi="Times New Roman"/>
                <w:kern w:val="0"/>
                <w:sz w:val="20"/>
                <w:szCs w:val="20"/>
              </w:rPr>
              <w:t>2.</w:t>
            </w:r>
            <w:r>
              <w:rPr>
                <w:rFonts w:ascii="Times New Roman" w:hAnsi="Times New Roman"/>
                <w:kern w:val="0"/>
                <w:sz w:val="20"/>
                <w:szCs w:val="20"/>
              </w:rPr>
              <w:t>友善氛围（</w:t>
            </w:r>
            <w:r>
              <w:rPr>
                <w:rFonts w:ascii="Times New Roman" w:hAnsi="Times New Roman"/>
                <w:kern w:val="0"/>
                <w:sz w:val="20"/>
                <w:szCs w:val="20"/>
              </w:rPr>
              <w:t>3</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2.1 </w:t>
            </w:r>
            <w:r>
              <w:rPr>
                <w:rFonts w:ascii="Times New Roman" w:hAnsi="Times New Roman"/>
                <w:w w:val="80"/>
                <w:kern w:val="0"/>
                <w:sz w:val="20"/>
                <w:szCs w:val="20"/>
              </w:rPr>
              <w:t>在院内开展尊老、助老、护老等活动，老年人就医受到尊重；有投诉管理机制。（</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现场观察医疗机构工作人员与老年患者的沟通方式（态度、语言、文字、图片等），实地巡查门、急诊引导老人就诊、检查、取药等情况。现场随机调研病人及家属的满意度。</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0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2.2  </w:t>
            </w:r>
            <w:r>
              <w:rPr>
                <w:rFonts w:ascii="Times New Roman" w:hAnsi="Times New Roman"/>
                <w:w w:val="80"/>
                <w:kern w:val="0"/>
                <w:sz w:val="20"/>
                <w:szCs w:val="20"/>
              </w:rPr>
              <w:t>在院外定期</w:t>
            </w:r>
            <w:r>
              <w:rPr>
                <w:rStyle w:val="font21"/>
                <w:rFonts w:ascii="Times New Roman" w:hAnsi="Times New Roman" w:cs="Times New Roman" w:hint="default"/>
                <w:color w:val="auto"/>
                <w:w w:val="80"/>
              </w:rPr>
              <w:t>开展尊老、爱老、孝</w:t>
            </w:r>
            <w:proofErr w:type="gramStart"/>
            <w:r>
              <w:rPr>
                <w:rStyle w:val="font21"/>
                <w:rFonts w:ascii="Times New Roman" w:hAnsi="Times New Roman" w:cs="Times New Roman" w:hint="default"/>
                <w:color w:val="auto"/>
                <w:w w:val="80"/>
              </w:rPr>
              <w:t>老相关</w:t>
            </w:r>
            <w:proofErr w:type="gramEnd"/>
            <w:r>
              <w:rPr>
                <w:rStyle w:val="font21"/>
                <w:rFonts w:ascii="Times New Roman" w:hAnsi="Times New Roman" w:cs="Times New Roman" w:hint="default"/>
                <w:color w:val="auto"/>
                <w:w w:val="80"/>
              </w:rPr>
              <w:t>宣传、义诊等公益活动。（</w:t>
            </w:r>
            <w:r>
              <w:rPr>
                <w:rStyle w:val="font21"/>
                <w:rFonts w:ascii="Times New Roman" w:hAnsi="Times New Roman" w:cs="Times New Roman" w:hint="default"/>
                <w:color w:val="auto"/>
                <w:w w:val="80"/>
              </w:rPr>
              <w:t>1</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查阅义诊活动的记录、图片和宣传报道。</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82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left"/>
              <w:textAlignment w:val="center"/>
              <w:rPr>
                <w:rFonts w:ascii="Times New Roman" w:hAnsi="Times New Roman"/>
                <w:sz w:val="20"/>
                <w:szCs w:val="20"/>
              </w:rPr>
            </w:pPr>
            <w:r>
              <w:rPr>
                <w:rFonts w:ascii="Times New Roman" w:hAnsi="Times New Roman"/>
                <w:kern w:val="0"/>
                <w:sz w:val="20"/>
                <w:szCs w:val="20"/>
              </w:rPr>
              <w:t>3.</w:t>
            </w:r>
            <w:r>
              <w:rPr>
                <w:rFonts w:ascii="Times New Roman" w:hAnsi="Times New Roman"/>
                <w:kern w:val="0"/>
                <w:sz w:val="20"/>
                <w:szCs w:val="20"/>
              </w:rPr>
              <w:t>健康宣教（</w:t>
            </w:r>
            <w:r>
              <w:rPr>
                <w:rFonts w:ascii="Times New Roman" w:hAnsi="Times New Roman"/>
                <w:kern w:val="0"/>
                <w:sz w:val="20"/>
                <w:szCs w:val="20"/>
              </w:rPr>
              <w:t>2</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3.1  </w:t>
            </w:r>
            <w:r>
              <w:rPr>
                <w:rFonts w:ascii="Times New Roman" w:hAnsi="Times New Roman"/>
                <w:w w:val="80"/>
                <w:kern w:val="0"/>
                <w:sz w:val="20"/>
                <w:szCs w:val="20"/>
              </w:rPr>
              <w:t>有针对老年人的健康教育制度及向老年人定期提供健康宣教服务、中医养生保健的宣教服务。（</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查看机构健康宣教制度、老年人就诊区域有无针对老年人的健康宣教手册、展板</w:t>
            </w:r>
            <w:r>
              <w:rPr>
                <w:rStyle w:val="font21"/>
                <w:rFonts w:ascii="Times New Roman" w:hAnsi="Times New Roman" w:cs="Times New Roman" w:hint="default"/>
                <w:color w:val="auto"/>
                <w:w w:val="80"/>
              </w:rPr>
              <w:t>。</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97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3.2  </w:t>
            </w:r>
            <w:r>
              <w:rPr>
                <w:rFonts w:ascii="Times New Roman" w:hAnsi="Times New Roman"/>
                <w:w w:val="80"/>
                <w:kern w:val="0"/>
                <w:sz w:val="20"/>
                <w:szCs w:val="20"/>
              </w:rPr>
              <w:t>以方便老年人阅览</w:t>
            </w:r>
            <w:r>
              <w:rPr>
                <w:rStyle w:val="font21"/>
                <w:rFonts w:ascii="Times New Roman" w:hAnsi="Times New Roman" w:cs="Times New Roman" w:hint="default"/>
                <w:color w:val="auto"/>
                <w:w w:val="80"/>
              </w:rPr>
              <w:t>的方式向老年人公示各类便民服务信息，包括但不限于服务时间、收费标准和服务流程等。（</w:t>
            </w:r>
            <w:r>
              <w:rPr>
                <w:rFonts w:ascii="Times New Roman" w:hAnsi="Times New Roman"/>
                <w:w w:val="80"/>
                <w:kern w:val="0"/>
                <w:sz w:val="20"/>
                <w:szCs w:val="20"/>
              </w:rPr>
              <w:t>1</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查看门诊触摸屏、专家介绍、服务流程和物价公示等。</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82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sz w:val="20"/>
                <w:szCs w:val="20"/>
              </w:rPr>
            </w:pPr>
            <w:r>
              <w:rPr>
                <w:rFonts w:ascii="Times New Roman" w:hAnsi="Times New Roman"/>
                <w:kern w:val="0"/>
                <w:sz w:val="20"/>
                <w:szCs w:val="20"/>
              </w:rPr>
              <w:t>4.</w:t>
            </w:r>
            <w:r>
              <w:rPr>
                <w:rFonts w:ascii="Times New Roman" w:hAnsi="Times New Roman"/>
                <w:kern w:val="0"/>
                <w:sz w:val="20"/>
                <w:szCs w:val="20"/>
              </w:rPr>
              <w:t>社会工作与志愿者服务</w:t>
            </w:r>
            <w:r>
              <w:rPr>
                <w:rStyle w:val="font21"/>
                <w:rFonts w:ascii="Times New Roman" w:hAnsi="Times New Roman" w:cs="Times New Roman" w:hint="default"/>
                <w:color w:val="auto"/>
              </w:rPr>
              <w:t>（</w:t>
            </w:r>
            <w:r>
              <w:rPr>
                <w:rStyle w:val="font21"/>
                <w:rFonts w:ascii="Times New Roman" w:hAnsi="Times New Roman" w:cs="Times New Roman" w:hint="default"/>
                <w:color w:val="auto"/>
              </w:rPr>
              <w:t>2</w:t>
            </w:r>
            <w:r>
              <w:rPr>
                <w:rStyle w:val="font21"/>
                <w:rFonts w:ascii="Times New Roman" w:hAnsi="Times New Roman" w:cs="Times New Roman" w:hint="default"/>
                <w:color w:val="auto"/>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4.1  </w:t>
            </w:r>
            <w:r>
              <w:rPr>
                <w:rFonts w:ascii="Times New Roman" w:hAnsi="Times New Roman"/>
                <w:w w:val="80"/>
                <w:kern w:val="0"/>
                <w:sz w:val="20"/>
                <w:szCs w:val="20"/>
              </w:rPr>
              <w:t>有关于社会工作者或志愿者为老年人开展服务的相关规章制度，并为老年人提供服务。（</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查看相关的组织机构、制度职责和记录。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4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4.2  </w:t>
            </w:r>
            <w:r>
              <w:rPr>
                <w:rFonts w:ascii="Times New Roman" w:hAnsi="Times New Roman"/>
                <w:w w:val="80"/>
                <w:kern w:val="0"/>
                <w:sz w:val="20"/>
                <w:szCs w:val="20"/>
              </w:rPr>
              <w:t>有关于志愿者及志愿服务的管理制度；有为老年人提供导</w:t>
            </w:r>
            <w:proofErr w:type="gramStart"/>
            <w:r>
              <w:rPr>
                <w:rFonts w:ascii="Times New Roman" w:hAnsi="Times New Roman"/>
                <w:w w:val="80"/>
                <w:kern w:val="0"/>
                <w:sz w:val="20"/>
                <w:szCs w:val="20"/>
              </w:rPr>
              <w:t>医</w:t>
            </w:r>
            <w:proofErr w:type="gramEnd"/>
            <w:r>
              <w:rPr>
                <w:rFonts w:ascii="Times New Roman" w:hAnsi="Times New Roman"/>
                <w:w w:val="80"/>
                <w:kern w:val="0"/>
                <w:sz w:val="20"/>
                <w:szCs w:val="20"/>
              </w:rPr>
              <w:t>、陪伴等志愿服务；有老年志愿者、离退休医务人员等的积极参与。（</w:t>
            </w:r>
            <w:r>
              <w:rPr>
                <w:rFonts w:ascii="Times New Roman" w:hAnsi="Times New Roman"/>
                <w:w w:val="80"/>
                <w:kern w:val="0"/>
                <w:sz w:val="20"/>
                <w:szCs w:val="20"/>
              </w:rPr>
              <w:t>1</w:t>
            </w:r>
            <w:r>
              <w:rPr>
                <w:rFonts w:ascii="Times New Roman" w:hAnsi="Times New Roman"/>
                <w:w w:val="80"/>
                <w:kern w:val="0"/>
                <w:sz w:val="20"/>
                <w:szCs w:val="20"/>
              </w:rPr>
              <w:t>分</w:t>
            </w:r>
            <w:r>
              <w:rPr>
                <w:rFonts w:ascii="Times New Roman" w:hAnsi="Times New Roman"/>
                <w:w w:val="80"/>
                <w:kern w:val="0"/>
                <w:sz w:val="20"/>
                <w:szCs w:val="20"/>
              </w:rPr>
              <w:t xml:space="preserve"> </w:t>
            </w:r>
            <w:r>
              <w:rPr>
                <w:rFonts w:ascii="Times New Roman" w:hAnsi="Times New Roman"/>
                <w:w w:val="80"/>
                <w:kern w:val="0"/>
                <w:sz w:val="20"/>
                <w:szCs w:val="20"/>
              </w:rPr>
              <w:t>）</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w:t>
            </w:r>
            <w:r>
              <w:rPr>
                <w:rStyle w:val="font21"/>
                <w:rFonts w:ascii="Times New Roman" w:hAnsi="Times New Roman" w:cs="Times New Roman" w:hint="default"/>
                <w:color w:val="auto"/>
                <w:w w:val="80"/>
              </w:rPr>
              <w:t>看导诊台、自助挂号机、服务台等处自愿者的服务情况，查看招募志愿者或离退休人员的信息资料。</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919"/>
        </w:trPr>
        <w:tc>
          <w:tcPr>
            <w:tcW w:w="117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二、老年友善管理（</w:t>
            </w:r>
            <w:r>
              <w:rPr>
                <w:rFonts w:ascii="Times New Roman" w:hAnsi="Times New Roman"/>
                <w:kern w:val="0"/>
                <w:sz w:val="20"/>
                <w:szCs w:val="20"/>
              </w:rPr>
              <w:t>15</w:t>
            </w:r>
            <w:r>
              <w:rPr>
                <w:rFonts w:ascii="Times New Roman" w:hAnsi="Times New Roman"/>
                <w:kern w:val="0"/>
                <w:sz w:val="20"/>
                <w:szCs w:val="20"/>
              </w:rPr>
              <w:t>分）</w:t>
            </w: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left"/>
              <w:textAlignment w:val="center"/>
              <w:rPr>
                <w:rFonts w:ascii="Times New Roman" w:hAnsi="Times New Roman"/>
                <w:sz w:val="20"/>
                <w:szCs w:val="20"/>
              </w:rPr>
            </w:pPr>
            <w:r>
              <w:rPr>
                <w:rFonts w:ascii="Times New Roman" w:hAnsi="Times New Roman"/>
                <w:kern w:val="0"/>
                <w:sz w:val="20"/>
                <w:szCs w:val="20"/>
              </w:rPr>
              <w:t>5.</w:t>
            </w:r>
            <w:r>
              <w:rPr>
                <w:rFonts w:ascii="Times New Roman" w:hAnsi="Times New Roman"/>
                <w:kern w:val="0"/>
                <w:sz w:val="20"/>
                <w:szCs w:val="20"/>
              </w:rPr>
              <w:t>保障机制（</w:t>
            </w:r>
            <w:r>
              <w:rPr>
                <w:rFonts w:ascii="Times New Roman" w:hAnsi="Times New Roman"/>
                <w:kern w:val="0"/>
                <w:sz w:val="20"/>
                <w:szCs w:val="20"/>
              </w:rPr>
              <w:t>3</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5.1  </w:t>
            </w:r>
            <w:r>
              <w:rPr>
                <w:rFonts w:ascii="Times New Roman" w:hAnsi="Times New Roman"/>
                <w:w w:val="80"/>
                <w:kern w:val="0"/>
                <w:sz w:val="20"/>
                <w:szCs w:val="20"/>
              </w:rPr>
              <w:t>有老年友善管理相关规章制度和组织领导架构，并将老年友善医疗机构建设纳入医疗机构评价体系。（</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查看规章制度、评价体系等相关文件。</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2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5.2  </w:t>
            </w:r>
            <w:r>
              <w:rPr>
                <w:rFonts w:ascii="Times New Roman" w:hAnsi="Times New Roman"/>
                <w:w w:val="80"/>
                <w:kern w:val="0"/>
                <w:sz w:val="20"/>
                <w:szCs w:val="20"/>
              </w:rPr>
              <w:t>有老年友善医疗机构建设的年度工作计划、总结、督导检查记录和整改措施。（</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查看相关计划及工作记录。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4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left"/>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5.3  </w:t>
            </w:r>
            <w:r>
              <w:rPr>
                <w:rFonts w:ascii="Times New Roman" w:hAnsi="Times New Roman"/>
                <w:w w:val="80"/>
                <w:kern w:val="0"/>
                <w:sz w:val="20"/>
                <w:szCs w:val="20"/>
              </w:rPr>
              <w:t>有落实老年友善医疗机构建设的经费。（</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查看相关经费预算、相关支出凭证。</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4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6.</w:t>
            </w:r>
            <w:r>
              <w:rPr>
                <w:rFonts w:ascii="Times New Roman" w:hAnsi="Times New Roman"/>
                <w:kern w:val="0"/>
                <w:sz w:val="20"/>
                <w:szCs w:val="20"/>
              </w:rPr>
              <w:t>老年医学管理与培训</w:t>
            </w:r>
            <w:r>
              <w:rPr>
                <w:rFonts w:ascii="Times New Roman" w:hAnsi="Times New Roman"/>
                <w:kern w:val="0"/>
                <w:sz w:val="20"/>
                <w:szCs w:val="20"/>
              </w:rPr>
              <w:t xml:space="preserve"> </w:t>
            </w:r>
            <w:r>
              <w:rPr>
                <w:rFonts w:ascii="Times New Roman" w:hAnsi="Times New Roman"/>
                <w:kern w:val="0"/>
                <w:sz w:val="20"/>
                <w:szCs w:val="20"/>
              </w:rPr>
              <w:t>（</w:t>
            </w:r>
            <w:r>
              <w:rPr>
                <w:rFonts w:ascii="Times New Roman" w:hAnsi="Times New Roman"/>
                <w:kern w:val="0"/>
                <w:sz w:val="20"/>
                <w:szCs w:val="20"/>
              </w:rPr>
              <w:t>8</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6.1  </w:t>
            </w:r>
            <w:r>
              <w:rPr>
                <w:rFonts w:ascii="Times New Roman" w:hAnsi="Times New Roman"/>
                <w:w w:val="80"/>
                <w:kern w:val="0"/>
                <w:sz w:val="20"/>
                <w:szCs w:val="20"/>
              </w:rPr>
              <w:t>建立涉老科研项目的医学伦理审查制度，并具体实施，</w:t>
            </w:r>
            <w:proofErr w:type="gramStart"/>
            <w:r>
              <w:rPr>
                <w:rFonts w:ascii="Times New Roman" w:hAnsi="Times New Roman"/>
                <w:w w:val="80"/>
                <w:kern w:val="0"/>
                <w:sz w:val="20"/>
                <w:szCs w:val="20"/>
              </w:rPr>
              <w:t>做为</w:t>
            </w:r>
            <w:proofErr w:type="gramEnd"/>
            <w:r>
              <w:rPr>
                <w:rFonts w:ascii="Times New Roman" w:hAnsi="Times New Roman"/>
                <w:w w:val="80"/>
                <w:kern w:val="0"/>
                <w:sz w:val="20"/>
                <w:szCs w:val="20"/>
              </w:rPr>
              <w:t>加分项，不扣分项，有则加分，没有不扣。（</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查看受试者老人的知情同意书和相关记录。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38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6.2  </w:t>
            </w:r>
            <w:r>
              <w:rPr>
                <w:rFonts w:ascii="Times New Roman" w:hAnsi="Times New Roman"/>
                <w:w w:val="80"/>
                <w:kern w:val="0"/>
                <w:sz w:val="20"/>
                <w:szCs w:val="20"/>
              </w:rPr>
              <w:t>建立具有老年医学特点的管理制度及服务模式，并具体实施，其中应包括老年综合评估、老年病多学科综合诊疗模式（</w:t>
            </w:r>
            <w:r>
              <w:rPr>
                <w:rFonts w:ascii="Times New Roman" w:hAnsi="Times New Roman"/>
                <w:w w:val="80"/>
                <w:kern w:val="0"/>
                <w:sz w:val="20"/>
                <w:szCs w:val="20"/>
              </w:rPr>
              <w:t>MDT</w:t>
            </w:r>
            <w:r>
              <w:rPr>
                <w:rFonts w:ascii="Times New Roman" w:hAnsi="Times New Roman"/>
                <w:w w:val="80"/>
                <w:kern w:val="0"/>
                <w:sz w:val="20"/>
                <w:szCs w:val="20"/>
              </w:rPr>
              <w:t>）、老年综合征的干预和老年照护问题的管理等。（</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查看医务部（科）、护理部等职能部门的相关制度、文件等及工作记录；</w:t>
            </w:r>
            <w:r>
              <w:rPr>
                <w:rStyle w:val="font101"/>
                <w:rFonts w:ascii="Times New Roman" w:hAnsi="Times New Roman" w:cs="Times New Roman" w:hint="default"/>
                <w:color w:val="auto"/>
                <w:w w:val="80"/>
              </w:rPr>
              <w:t>对于二级专科康复医院、中医院及</w:t>
            </w:r>
            <w:proofErr w:type="gramStart"/>
            <w:r>
              <w:rPr>
                <w:rStyle w:val="font101"/>
                <w:rFonts w:ascii="Times New Roman" w:hAnsi="Times New Roman" w:cs="Times New Roman" w:hint="default"/>
                <w:color w:val="auto"/>
                <w:w w:val="80"/>
              </w:rPr>
              <w:t>医</w:t>
            </w:r>
            <w:proofErr w:type="gramEnd"/>
            <w:r>
              <w:rPr>
                <w:rStyle w:val="font101"/>
                <w:rFonts w:ascii="Times New Roman" w:hAnsi="Times New Roman" w:cs="Times New Roman" w:hint="default"/>
                <w:color w:val="auto"/>
                <w:w w:val="80"/>
              </w:rPr>
              <w:t>养结合医院，可对有适应症的患者开展老年综合评估，鼓励针对有干预价值的患者进行早期评估及干预治疗。</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0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6.3 </w:t>
            </w:r>
            <w:r>
              <w:rPr>
                <w:rFonts w:ascii="Times New Roman" w:hAnsi="Times New Roman"/>
                <w:w w:val="80"/>
                <w:kern w:val="0"/>
                <w:sz w:val="20"/>
                <w:szCs w:val="20"/>
              </w:rPr>
              <w:t>机构人员有参加国家级</w:t>
            </w:r>
            <w:r>
              <w:rPr>
                <w:rStyle w:val="font101"/>
                <w:rFonts w:ascii="Times New Roman" w:hAnsi="Times New Roman" w:cs="Times New Roman" w:hint="default"/>
                <w:color w:val="auto"/>
                <w:w w:val="80"/>
              </w:rPr>
              <w:t>或自治区级</w:t>
            </w:r>
            <w:r>
              <w:rPr>
                <w:rFonts w:ascii="Times New Roman" w:hAnsi="Times New Roman"/>
                <w:w w:val="80"/>
                <w:kern w:val="0"/>
                <w:sz w:val="20"/>
                <w:szCs w:val="20"/>
              </w:rPr>
              <w:t>老年医学科医师及护理培训班并取得证书或学分证明。（</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查看机构被培训人员的培训佐证资料。</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4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6.4 </w:t>
            </w:r>
            <w:r>
              <w:rPr>
                <w:rFonts w:ascii="Times New Roman" w:hAnsi="Times New Roman"/>
                <w:w w:val="80"/>
                <w:kern w:val="0"/>
                <w:sz w:val="20"/>
                <w:szCs w:val="20"/>
              </w:rPr>
              <w:t>有健全的老年医学相关培训制度并定期开展老年医学专业知识和技能培训，包括老年心理学、社会学、与老年人沟通交流技巧等内容的培训。（</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查看相关的培训计划、课程表、培训课件、宣传报道、签到表及其他工作记录；访谈</w:t>
            </w:r>
            <w:r>
              <w:rPr>
                <w:rFonts w:ascii="Times New Roman" w:hAnsi="Times New Roman"/>
                <w:w w:val="80"/>
                <w:kern w:val="0"/>
                <w:sz w:val="20"/>
                <w:szCs w:val="20"/>
              </w:rPr>
              <w:t>1-2</w:t>
            </w:r>
            <w:r>
              <w:rPr>
                <w:rFonts w:ascii="Times New Roman" w:hAnsi="Times New Roman"/>
                <w:w w:val="80"/>
                <w:kern w:val="0"/>
                <w:sz w:val="20"/>
                <w:szCs w:val="20"/>
              </w:rPr>
              <w:t>名医生的培训情况，在门、急诊观察医护人员与老年患者交流的情况。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4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6.5  </w:t>
            </w:r>
            <w:r>
              <w:rPr>
                <w:rFonts w:ascii="Times New Roman" w:hAnsi="Times New Roman"/>
                <w:w w:val="80"/>
                <w:kern w:val="0"/>
                <w:sz w:val="20"/>
                <w:szCs w:val="20"/>
              </w:rPr>
              <w:t>定期开展老年护理、康复护理技能培训。</w:t>
            </w:r>
            <w:r>
              <w:rPr>
                <w:rStyle w:val="font21"/>
                <w:rFonts w:ascii="Times New Roman" w:hAnsi="Times New Roman" w:cs="Times New Roman" w:hint="default"/>
                <w:color w:val="auto"/>
                <w:w w:val="80"/>
              </w:rPr>
              <w:t>（</w:t>
            </w:r>
            <w:r>
              <w:rPr>
                <w:rStyle w:val="font21"/>
                <w:rFonts w:ascii="Times New Roman" w:hAnsi="Times New Roman" w:cs="Times New Roman" w:hint="default"/>
                <w:color w:val="auto"/>
                <w:w w:val="80"/>
              </w:rPr>
              <w:t>2</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查看相关的培训计划、课程表、培训课件和签到表等，访谈</w:t>
            </w:r>
            <w:r>
              <w:rPr>
                <w:rFonts w:ascii="Times New Roman" w:hAnsi="Times New Roman"/>
                <w:w w:val="80"/>
                <w:kern w:val="0"/>
                <w:sz w:val="20"/>
                <w:szCs w:val="20"/>
              </w:rPr>
              <w:t>1-2</w:t>
            </w:r>
            <w:r>
              <w:rPr>
                <w:rFonts w:ascii="Times New Roman" w:hAnsi="Times New Roman"/>
                <w:w w:val="80"/>
                <w:kern w:val="0"/>
                <w:sz w:val="20"/>
                <w:szCs w:val="20"/>
              </w:rPr>
              <w:t>名护士的培训情况。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3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7.</w:t>
            </w:r>
            <w:r>
              <w:rPr>
                <w:rFonts w:ascii="Times New Roman" w:hAnsi="Times New Roman"/>
                <w:kern w:val="0"/>
                <w:sz w:val="20"/>
                <w:szCs w:val="20"/>
              </w:rPr>
              <w:t>分级诊疗（</w:t>
            </w:r>
            <w:r>
              <w:rPr>
                <w:rFonts w:ascii="Times New Roman" w:hAnsi="Times New Roman"/>
                <w:kern w:val="0"/>
                <w:sz w:val="20"/>
                <w:szCs w:val="20"/>
              </w:rPr>
              <w:t>4</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7.1  </w:t>
            </w:r>
            <w:r>
              <w:rPr>
                <w:rFonts w:ascii="Times New Roman" w:hAnsi="Times New Roman"/>
                <w:w w:val="80"/>
                <w:kern w:val="0"/>
                <w:sz w:val="20"/>
                <w:szCs w:val="20"/>
              </w:rPr>
              <w:t>有负责老年患者转诊管理的部门</w:t>
            </w:r>
            <w:r>
              <w:rPr>
                <w:rStyle w:val="font21"/>
                <w:rFonts w:ascii="Times New Roman" w:hAnsi="Times New Roman" w:cs="Times New Roman" w:hint="default"/>
                <w:color w:val="auto"/>
                <w:w w:val="80"/>
              </w:rPr>
              <w:t>和相关规章制度，并有相关实施记录。（</w:t>
            </w:r>
            <w:r>
              <w:rPr>
                <w:rStyle w:val="font21"/>
                <w:rFonts w:ascii="Times New Roman" w:hAnsi="Times New Roman" w:cs="Times New Roman" w:hint="default"/>
                <w:color w:val="auto"/>
                <w:w w:val="80"/>
              </w:rPr>
              <w:t>1</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查看转诊管理部门的制度、职责和服务流程。</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61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7.2  </w:t>
            </w:r>
            <w:r>
              <w:rPr>
                <w:rFonts w:ascii="Times New Roman" w:hAnsi="Times New Roman"/>
                <w:w w:val="80"/>
                <w:kern w:val="0"/>
                <w:sz w:val="20"/>
                <w:szCs w:val="20"/>
              </w:rPr>
              <w:t>参与区域</w:t>
            </w:r>
            <w:proofErr w:type="gramStart"/>
            <w:r>
              <w:rPr>
                <w:rFonts w:ascii="Times New Roman" w:hAnsi="Times New Roman"/>
                <w:w w:val="80"/>
                <w:kern w:val="0"/>
                <w:sz w:val="20"/>
                <w:szCs w:val="20"/>
              </w:rPr>
              <w:t>医</w:t>
            </w:r>
            <w:proofErr w:type="gramEnd"/>
            <w:r>
              <w:rPr>
                <w:rFonts w:ascii="Times New Roman" w:hAnsi="Times New Roman"/>
                <w:w w:val="80"/>
                <w:kern w:val="0"/>
                <w:sz w:val="20"/>
                <w:szCs w:val="20"/>
              </w:rPr>
              <w:t>联体、</w:t>
            </w:r>
            <w:proofErr w:type="gramStart"/>
            <w:r>
              <w:rPr>
                <w:rFonts w:ascii="Times New Roman" w:hAnsi="Times New Roman"/>
                <w:w w:val="80"/>
                <w:kern w:val="0"/>
                <w:sz w:val="20"/>
                <w:szCs w:val="20"/>
              </w:rPr>
              <w:t>医</w:t>
            </w:r>
            <w:proofErr w:type="gramEnd"/>
            <w:r>
              <w:rPr>
                <w:rFonts w:ascii="Times New Roman" w:hAnsi="Times New Roman"/>
                <w:w w:val="80"/>
                <w:kern w:val="0"/>
                <w:sz w:val="20"/>
                <w:szCs w:val="20"/>
              </w:rPr>
              <w:t>共体、</w:t>
            </w:r>
            <w:proofErr w:type="gramStart"/>
            <w:r>
              <w:rPr>
                <w:rFonts w:ascii="Times New Roman" w:hAnsi="Times New Roman"/>
                <w:w w:val="80"/>
                <w:kern w:val="0"/>
                <w:sz w:val="20"/>
                <w:szCs w:val="20"/>
              </w:rPr>
              <w:t>医</w:t>
            </w:r>
            <w:proofErr w:type="gramEnd"/>
            <w:r>
              <w:rPr>
                <w:rFonts w:ascii="Times New Roman" w:hAnsi="Times New Roman"/>
                <w:w w:val="80"/>
                <w:kern w:val="0"/>
                <w:sz w:val="20"/>
                <w:szCs w:val="20"/>
              </w:rPr>
              <w:t>养联合体、医疗集团等建设。（</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查看相关文件，巡查和分析医院各病区的管理模式。</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0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7.3  </w:t>
            </w:r>
            <w:r>
              <w:rPr>
                <w:rFonts w:ascii="Times New Roman" w:hAnsi="Times New Roman"/>
                <w:w w:val="80"/>
                <w:kern w:val="0"/>
                <w:sz w:val="20"/>
                <w:szCs w:val="20"/>
              </w:rPr>
              <w:t>建立双向转诊的流程及规范，签订合作协议，并按协议提供服务。（</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查看相关的合作协议和协作记录。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20"/>
        </w:trPr>
        <w:tc>
          <w:tcPr>
            <w:tcW w:w="117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三、老年友善服务（</w:t>
            </w:r>
            <w:r>
              <w:rPr>
                <w:rFonts w:ascii="Times New Roman" w:hAnsi="Times New Roman"/>
                <w:kern w:val="0"/>
                <w:sz w:val="20"/>
                <w:szCs w:val="20"/>
              </w:rPr>
              <w:t>50</w:t>
            </w:r>
            <w:r>
              <w:rPr>
                <w:rFonts w:ascii="Times New Roman" w:hAnsi="Times New Roman"/>
                <w:kern w:val="0"/>
                <w:sz w:val="20"/>
                <w:szCs w:val="20"/>
              </w:rPr>
              <w:t>分）</w:t>
            </w: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8.</w:t>
            </w:r>
            <w:r>
              <w:rPr>
                <w:rFonts w:ascii="Times New Roman" w:hAnsi="Times New Roman"/>
                <w:kern w:val="0"/>
                <w:sz w:val="20"/>
                <w:szCs w:val="20"/>
              </w:rPr>
              <w:t>老年医学服务（</w:t>
            </w:r>
            <w:r>
              <w:rPr>
                <w:rFonts w:ascii="Times New Roman" w:hAnsi="Times New Roman"/>
                <w:kern w:val="0"/>
                <w:sz w:val="20"/>
                <w:szCs w:val="20"/>
              </w:rPr>
              <w:t>11</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8.1  </w:t>
            </w:r>
            <w:r>
              <w:rPr>
                <w:rFonts w:ascii="Times New Roman" w:hAnsi="Times New Roman"/>
                <w:w w:val="80"/>
                <w:kern w:val="0"/>
                <w:sz w:val="20"/>
                <w:szCs w:val="20"/>
              </w:rPr>
              <w:t>设置有老年医学科的门诊（</w:t>
            </w:r>
            <w:r>
              <w:rPr>
                <w:rFonts w:ascii="Times New Roman" w:hAnsi="Times New Roman"/>
                <w:w w:val="80"/>
                <w:kern w:val="0"/>
                <w:sz w:val="20"/>
                <w:szCs w:val="20"/>
              </w:rPr>
              <w:t>1</w:t>
            </w:r>
            <w:r>
              <w:rPr>
                <w:rFonts w:ascii="Times New Roman" w:hAnsi="Times New Roman"/>
                <w:w w:val="80"/>
                <w:kern w:val="0"/>
                <w:sz w:val="20"/>
                <w:szCs w:val="20"/>
              </w:rPr>
              <w:t>分）</w:t>
            </w:r>
            <w:r>
              <w:rPr>
                <w:rStyle w:val="font21"/>
                <w:rFonts w:ascii="Times New Roman" w:hAnsi="Times New Roman" w:cs="Times New Roman" w:hint="default"/>
                <w:color w:val="auto"/>
                <w:w w:val="80"/>
              </w:rPr>
              <w:t>、病房</w:t>
            </w:r>
            <w:r>
              <w:rPr>
                <w:rFonts w:ascii="Times New Roman" w:hAnsi="Times New Roman"/>
                <w:w w:val="80"/>
                <w:kern w:val="0"/>
                <w:sz w:val="20"/>
                <w:szCs w:val="20"/>
              </w:rPr>
              <w:t>（</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查看相关制度和组织结构，提取相关统计数据比对，实地察看老年医学科门诊、病房。</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8.2  </w:t>
            </w:r>
            <w:r>
              <w:rPr>
                <w:rFonts w:ascii="Times New Roman" w:hAnsi="Times New Roman"/>
                <w:w w:val="80"/>
                <w:kern w:val="0"/>
                <w:sz w:val="20"/>
                <w:szCs w:val="20"/>
              </w:rPr>
              <w:t>开设老年中医康复等服务。</w:t>
            </w:r>
            <w:r>
              <w:rPr>
                <w:rStyle w:val="font21"/>
                <w:rFonts w:ascii="Times New Roman" w:hAnsi="Times New Roman" w:cs="Times New Roman" w:hint="default"/>
                <w:color w:val="auto"/>
                <w:w w:val="80"/>
              </w:rPr>
              <w:t>（</w:t>
            </w:r>
            <w:r>
              <w:rPr>
                <w:rStyle w:val="font21"/>
                <w:rFonts w:ascii="Times New Roman" w:hAnsi="Times New Roman" w:cs="Times New Roman" w:hint="default"/>
                <w:color w:val="auto"/>
                <w:w w:val="80"/>
              </w:rPr>
              <w:t>3</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实地查看相应科室；现场访谈</w:t>
            </w:r>
            <w:r>
              <w:rPr>
                <w:rFonts w:ascii="Times New Roman" w:hAnsi="Times New Roman"/>
                <w:w w:val="80"/>
                <w:kern w:val="0"/>
                <w:sz w:val="20"/>
                <w:szCs w:val="20"/>
              </w:rPr>
              <w:t>1</w:t>
            </w:r>
            <w:r>
              <w:rPr>
                <w:rFonts w:ascii="Times New Roman" w:hAnsi="Times New Roman"/>
                <w:w w:val="80"/>
                <w:kern w:val="0"/>
                <w:sz w:val="20"/>
                <w:szCs w:val="20"/>
              </w:rPr>
              <w:t>名医生。</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6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8.3  </w:t>
            </w:r>
            <w:r>
              <w:rPr>
                <w:rFonts w:ascii="Times New Roman" w:hAnsi="Times New Roman"/>
                <w:w w:val="80"/>
                <w:kern w:val="0"/>
                <w:sz w:val="20"/>
                <w:szCs w:val="20"/>
              </w:rPr>
              <w:t>独立提供或与养老机构、社区卫生服务机构合作提供老年长期照护服务。（</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查看相关资料和执行情况。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2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8.4  </w:t>
            </w:r>
            <w:r>
              <w:rPr>
                <w:rFonts w:ascii="Times New Roman" w:hAnsi="Times New Roman"/>
                <w:w w:val="80"/>
                <w:kern w:val="0"/>
                <w:sz w:val="20"/>
                <w:szCs w:val="20"/>
              </w:rPr>
              <w:t>为临终患者提供缓和医疗与</w:t>
            </w:r>
            <w:proofErr w:type="gramStart"/>
            <w:r>
              <w:rPr>
                <w:rFonts w:ascii="Times New Roman" w:hAnsi="Times New Roman"/>
                <w:w w:val="80"/>
                <w:kern w:val="0"/>
                <w:sz w:val="20"/>
                <w:szCs w:val="20"/>
              </w:rPr>
              <w:t>安宁疗护服务</w:t>
            </w:r>
            <w:proofErr w:type="gramEnd"/>
            <w:r>
              <w:rPr>
                <w:rFonts w:ascii="Times New Roman" w:hAnsi="Times New Roman"/>
                <w:w w:val="80"/>
                <w:kern w:val="0"/>
                <w:sz w:val="20"/>
                <w:szCs w:val="20"/>
              </w:rPr>
              <w:t>。（</w:t>
            </w:r>
            <w:r>
              <w:rPr>
                <w:rFonts w:ascii="Times New Roman" w:hAnsi="Times New Roman"/>
                <w:w w:val="80"/>
                <w:kern w:val="0"/>
                <w:sz w:val="20"/>
                <w:szCs w:val="20"/>
              </w:rPr>
              <w:t>3</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有</w:t>
            </w:r>
            <w:proofErr w:type="gramStart"/>
            <w:r>
              <w:rPr>
                <w:rFonts w:ascii="Times New Roman" w:hAnsi="Times New Roman"/>
                <w:w w:val="80"/>
                <w:kern w:val="0"/>
                <w:sz w:val="20"/>
                <w:szCs w:val="20"/>
              </w:rPr>
              <w:t>安宁疗护服务</w:t>
            </w:r>
            <w:proofErr w:type="gramEnd"/>
            <w:r>
              <w:rPr>
                <w:rFonts w:ascii="Times New Roman" w:hAnsi="Times New Roman"/>
                <w:w w:val="80"/>
                <w:kern w:val="0"/>
                <w:sz w:val="20"/>
                <w:szCs w:val="20"/>
              </w:rPr>
              <w:t>的病房或病床，在</w:t>
            </w:r>
            <w:proofErr w:type="gramStart"/>
            <w:r>
              <w:rPr>
                <w:rFonts w:ascii="Times New Roman" w:hAnsi="Times New Roman"/>
                <w:w w:val="80"/>
                <w:kern w:val="0"/>
                <w:sz w:val="20"/>
                <w:szCs w:val="20"/>
              </w:rPr>
              <w:t>安宁疗护病房</w:t>
            </w:r>
            <w:proofErr w:type="gramEnd"/>
            <w:r>
              <w:rPr>
                <w:rFonts w:ascii="Times New Roman" w:hAnsi="Times New Roman"/>
                <w:w w:val="80"/>
                <w:kern w:val="0"/>
                <w:sz w:val="20"/>
                <w:szCs w:val="20"/>
              </w:rPr>
              <w:t>开展死亡教育，有相关的宣传材料和活动记录。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88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9.</w:t>
            </w:r>
            <w:r>
              <w:rPr>
                <w:rFonts w:ascii="Times New Roman" w:hAnsi="Times New Roman"/>
                <w:kern w:val="0"/>
                <w:sz w:val="20"/>
                <w:szCs w:val="20"/>
              </w:rPr>
              <w:t>就医和出入院服务（</w:t>
            </w:r>
            <w:r>
              <w:rPr>
                <w:rFonts w:ascii="Times New Roman" w:hAnsi="Times New Roman"/>
                <w:kern w:val="0"/>
                <w:sz w:val="20"/>
                <w:szCs w:val="20"/>
              </w:rPr>
              <w:t>12</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9.1  </w:t>
            </w:r>
            <w:r>
              <w:rPr>
                <w:rFonts w:ascii="Times New Roman" w:hAnsi="Times New Roman"/>
                <w:w w:val="80"/>
                <w:kern w:val="0"/>
                <w:sz w:val="20"/>
                <w:szCs w:val="20"/>
              </w:rPr>
              <w:t>建立方便老年患者的门、急诊就医服务流程（</w:t>
            </w:r>
            <w:r>
              <w:rPr>
                <w:rFonts w:ascii="Times New Roman" w:hAnsi="Times New Roman"/>
                <w:w w:val="80"/>
                <w:kern w:val="0"/>
                <w:sz w:val="20"/>
                <w:szCs w:val="20"/>
              </w:rPr>
              <w:t>1</w:t>
            </w:r>
            <w:r>
              <w:rPr>
                <w:rFonts w:ascii="Times New Roman" w:hAnsi="Times New Roman"/>
                <w:w w:val="80"/>
                <w:kern w:val="0"/>
                <w:sz w:val="20"/>
                <w:szCs w:val="20"/>
              </w:rPr>
              <w:t>分）；设立老年患者就医绿色通道，设有人工挂号及现金收费窗口。（</w:t>
            </w:r>
            <w:r>
              <w:rPr>
                <w:rFonts w:ascii="Times New Roman" w:hAnsi="Times New Roman"/>
                <w:w w:val="80"/>
                <w:kern w:val="0"/>
                <w:sz w:val="20"/>
                <w:szCs w:val="20"/>
              </w:rPr>
              <w:t>2</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查看住院服务中心的相关制度、服务流程，观察老人入院办理情况，查看是否有清晰的入院告知。</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6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9.2  </w:t>
            </w:r>
            <w:r>
              <w:rPr>
                <w:rFonts w:ascii="Times New Roman" w:hAnsi="Times New Roman"/>
                <w:w w:val="80"/>
                <w:kern w:val="0"/>
                <w:sz w:val="20"/>
                <w:szCs w:val="20"/>
              </w:rPr>
              <w:t>有专门针对老年患者去门诊、住院的导诊服务人员或志愿者。（</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现场查看执行情况。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08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9.3  </w:t>
            </w:r>
            <w:r>
              <w:rPr>
                <w:rFonts w:ascii="Times New Roman" w:hAnsi="Times New Roman"/>
                <w:w w:val="80"/>
                <w:kern w:val="0"/>
                <w:sz w:val="20"/>
                <w:szCs w:val="20"/>
              </w:rPr>
              <w:t>门急诊主动为老年人提供包括并不限于就医咨询、分诊等服务；能够体现为失能、</w:t>
            </w:r>
            <w:r>
              <w:rPr>
                <w:rFonts w:ascii="Times New Roman" w:hAnsi="Times New Roman"/>
                <w:w w:val="80"/>
                <w:kern w:val="0"/>
                <w:sz w:val="20"/>
                <w:szCs w:val="20"/>
              </w:rPr>
              <w:t>75</w:t>
            </w:r>
            <w:r>
              <w:rPr>
                <w:rFonts w:ascii="Times New Roman" w:hAnsi="Times New Roman"/>
                <w:w w:val="80"/>
                <w:kern w:val="0"/>
                <w:sz w:val="20"/>
                <w:szCs w:val="20"/>
              </w:rPr>
              <w:t>岁以上老年患者提供优先挂号、就诊、检查和取药的四优先和</w:t>
            </w:r>
            <w:proofErr w:type="gramStart"/>
            <w:r>
              <w:rPr>
                <w:rFonts w:ascii="Times New Roman" w:hAnsi="Times New Roman"/>
                <w:w w:val="80"/>
                <w:kern w:val="0"/>
                <w:sz w:val="20"/>
                <w:szCs w:val="20"/>
              </w:rPr>
              <w:t>导医</w:t>
            </w:r>
            <w:proofErr w:type="gramEnd"/>
            <w:r>
              <w:rPr>
                <w:rFonts w:ascii="Times New Roman" w:hAnsi="Times New Roman"/>
                <w:w w:val="80"/>
                <w:kern w:val="0"/>
                <w:sz w:val="20"/>
                <w:szCs w:val="20"/>
              </w:rPr>
              <w:t>服务。（</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查看服务窗口和信息系统能否实现对高龄老年人的四优先服务（优先挂号、优先就诊、优先检查和优先取药），查阅相关记录。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9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9.4  </w:t>
            </w:r>
            <w:r>
              <w:rPr>
                <w:rFonts w:ascii="Times New Roman" w:hAnsi="Times New Roman"/>
                <w:w w:val="80"/>
                <w:kern w:val="0"/>
                <w:sz w:val="20"/>
                <w:szCs w:val="20"/>
              </w:rPr>
              <w:t>门急诊、住院病区为老年患者</w:t>
            </w:r>
            <w:proofErr w:type="gramStart"/>
            <w:r>
              <w:rPr>
                <w:rFonts w:ascii="Times New Roman" w:hAnsi="Times New Roman"/>
                <w:w w:val="80"/>
                <w:kern w:val="0"/>
                <w:sz w:val="20"/>
                <w:szCs w:val="20"/>
              </w:rPr>
              <w:t>提供移乘设备</w:t>
            </w:r>
            <w:proofErr w:type="gramEnd"/>
            <w:r>
              <w:rPr>
                <w:rFonts w:ascii="Times New Roman" w:hAnsi="Times New Roman"/>
                <w:w w:val="80"/>
                <w:kern w:val="0"/>
                <w:sz w:val="20"/>
                <w:szCs w:val="20"/>
              </w:rPr>
              <w:t>（如轮椅、平车等）、辅具、用品用具和其他便利等服务。（</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查看门急诊或病区是否提供助行器械等辅具，了解辅具管理人员是否充分认识辅具适配的意义和作用；现场查看实物和相关记录。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9.5 </w:t>
            </w:r>
            <w:r>
              <w:rPr>
                <w:rFonts w:ascii="Times New Roman" w:hAnsi="Times New Roman"/>
                <w:w w:val="80"/>
                <w:kern w:val="0"/>
                <w:sz w:val="20"/>
                <w:szCs w:val="20"/>
              </w:rPr>
              <w:t>为老年患者制定出院计划（</w:t>
            </w:r>
            <w:r>
              <w:rPr>
                <w:rFonts w:ascii="Times New Roman" w:hAnsi="Times New Roman"/>
                <w:w w:val="80"/>
                <w:kern w:val="0"/>
                <w:sz w:val="20"/>
                <w:szCs w:val="20"/>
              </w:rPr>
              <w:t>1</w:t>
            </w:r>
            <w:r>
              <w:rPr>
                <w:rFonts w:ascii="Times New Roman" w:hAnsi="Times New Roman"/>
                <w:w w:val="80"/>
                <w:kern w:val="0"/>
                <w:sz w:val="20"/>
                <w:szCs w:val="20"/>
              </w:rPr>
              <w:t>分）、协助老年患者办理入院、出院手续（</w:t>
            </w:r>
            <w:r>
              <w:rPr>
                <w:rFonts w:ascii="Times New Roman" w:hAnsi="Times New Roman"/>
                <w:w w:val="80"/>
                <w:kern w:val="0"/>
                <w:sz w:val="20"/>
                <w:szCs w:val="20"/>
              </w:rPr>
              <w:t>1</w:t>
            </w:r>
            <w:r>
              <w:rPr>
                <w:rFonts w:ascii="Times New Roman" w:hAnsi="Times New Roman"/>
                <w:w w:val="80"/>
                <w:kern w:val="0"/>
                <w:sz w:val="20"/>
                <w:szCs w:val="20"/>
              </w:rPr>
              <w:t>分）、为失能、失智老年人出院安排机构连接服务。（</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现场查看出入院服务中心的相关制度、服务流程，访谈患者，查阅病历和电子病历系统。</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98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10.</w:t>
            </w:r>
            <w:r>
              <w:rPr>
                <w:rFonts w:ascii="Times New Roman" w:hAnsi="Times New Roman"/>
                <w:kern w:val="0"/>
                <w:sz w:val="20"/>
                <w:szCs w:val="20"/>
              </w:rPr>
              <w:t>老年综合评估和风险防范（</w:t>
            </w:r>
            <w:r>
              <w:rPr>
                <w:rFonts w:ascii="Times New Roman" w:hAnsi="Times New Roman"/>
                <w:kern w:val="0"/>
                <w:sz w:val="20"/>
                <w:szCs w:val="20"/>
              </w:rPr>
              <w:t>15</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10.1  </w:t>
            </w:r>
            <w:r>
              <w:rPr>
                <w:rFonts w:ascii="Times New Roman" w:hAnsi="Times New Roman"/>
                <w:w w:val="80"/>
                <w:kern w:val="0"/>
                <w:sz w:val="20"/>
                <w:szCs w:val="20"/>
              </w:rPr>
              <w:t>老年医学科门诊</w:t>
            </w:r>
            <w:r>
              <w:rPr>
                <w:rStyle w:val="font01"/>
                <w:rFonts w:ascii="Times New Roman" w:hAnsi="Times New Roman" w:cs="Times New Roman" w:hint="default"/>
                <w:color w:val="auto"/>
                <w:w w:val="80"/>
              </w:rPr>
              <w:t>、</w:t>
            </w:r>
            <w:r>
              <w:rPr>
                <w:rStyle w:val="font21"/>
                <w:rFonts w:ascii="Times New Roman" w:hAnsi="Times New Roman" w:cs="Times New Roman" w:hint="default"/>
                <w:color w:val="auto"/>
                <w:w w:val="80"/>
              </w:rPr>
              <w:t>老年医学科病房开展老年综合评估服务。（</w:t>
            </w:r>
            <w:r>
              <w:rPr>
                <w:rStyle w:val="font21"/>
                <w:rFonts w:ascii="Times New Roman" w:hAnsi="Times New Roman" w:cs="Times New Roman" w:hint="default"/>
                <w:color w:val="auto"/>
                <w:w w:val="80"/>
              </w:rPr>
              <w:t>3</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观察门诊医生开展老年综合评估的情况。随机抽查老年医学科病房的</w:t>
            </w:r>
            <w:r>
              <w:rPr>
                <w:rFonts w:ascii="Times New Roman" w:hAnsi="Times New Roman"/>
                <w:w w:val="80"/>
                <w:kern w:val="0"/>
                <w:sz w:val="20"/>
                <w:szCs w:val="20"/>
              </w:rPr>
              <w:t>3-5</w:t>
            </w:r>
            <w:r>
              <w:rPr>
                <w:rFonts w:ascii="Times New Roman" w:hAnsi="Times New Roman"/>
                <w:w w:val="80"/>
                <w:kern w:val="0"/>
                <w:sz w:val="20"/>
                <w:szCs w:val="20"/>
              </w:rPr>
              <w:t>份病历，看老年综合评估实施情况，现场抽查医护人员各</w:t>
            </w:r>
            <w:r>
              <w:rPr>
                <w:rFonts w:ascii="Times New Roman" w:hAnsi="Times New Roman"/>
                <w:w w:val="80"/>
                <w:kern w:val="0"/>
                <w:sz w:val="20"/>
                <w:szCs w:val="20"/>
              </w:rPr>
              <w:t>1</w:t>
            </w:r>
            <w:r>
              <w:rPr>
                <w:rFonts w:ascii="Times New Roman" w:hAnsi="Times New Roman"/>
                <w:w w:val="80"/>
                <w:kern w:val="0"/>
                <w:sz w:val="20"/>
                <w:szCs w:val="20"/>
              </w:rPr>
              <w:t>名对老年住院患者综合评估的熟练程度（</w:t>
            </w:r>
            <w:r>
              <w:rPr>
                <w:rFonts w:ascii="Times New Roman" w:hAnsi="Times New Roman"/>
                <w:w w:val="80"/>
                <w:kern w:val="0"/>
                <w:sz w:val="20"/>
                <w:szCs w:val="20"/>
              </w:rPr>
              <w:t>MMSE</w:t>
            </w:r>
            <w:r>
              <w:rPr>
                <w:rFonts w:ascii="Times New Roman" w:hAnsi="Times New Roman"/>
                <w:w w:val="80"/>
                <w:kern w:val="0"/>
                <w:sz w:val="20"/>
                <w:szCs w:val="20"/>
              </w:rPr>
              <w:t>和</w:t>
            </w:r>
            <w:r>
              <w:rPr>
                <w:rFonts w:ascii="Times New Roman" w:hAnsi="Times New Roman"/>
                <w:w w:val="80"/>
                <w:kern w:val="0"/>
                <w:sz w:val="20"/>
                <w:szCs w:val="20"/>
              </w:rPr>
              <w:t>ADL)</w:t>
            </w:r>
            <w:r>
              <w:rPr>
                <w:rFonts w:ascii="Times New Roman" w:hAnsi="Times New Roman"/>
                <w:w w:val="80"/>
                <w:kern w:val="0"/>
                <w:sz w:val="20"/>
                <w:szCs w:val="20"/>
              </w:rPr>
              <w:t>。</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0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10.2  </w:t>
            </w:r>
            <w:r>
              <w:rPr>
                <w:rFonts w:ascii="Times New Roman" w:hAnsi="Times New Roman"/>
                <w:w w:val="80"/>
                <w:kern w:val="0"/>
                <w:sz w:val="20"/>
                <w:szCs w:val="20"/>
              </w:rPr>
              <w:t>在老年医学科及以老年患者为主的病房</w:t>
            </w:r>
            <w:r>
              <w:rPr>
                <w:rStyle w:val="font21"/>
                <w:rFonts w:ascii="Times New Roman" w:hAnsi="Times New Roman" w:cs="Times New Roman" w:hint="default"/>
                <w:color w:val="auto"/>
                <w:w w:val="80"/>
              </w:rPr>
              <w:t>开展多学科整合管理服务。（</w:t>
            </w:r>
            <w:r>
              <w:rPr>
                <w:rStyle w:val="font21"/>
                <w:rFonts w:ascii="Times New Roman" w:hAnsi="Times New Roman" w:cs="Times New Roman" w:hint="default"/>
                <w:color w:val="auto"/>
                <w:w w:val="80"/>
              </w:rPr>
              <w:t>2</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抽查科室病历，查看老年病多学科整合管理服务的开展情况。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61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10.3  </w:t>
            </w:r>
            <w:r>
              <w:rPr>
                <w:rFonts w:ascii="Times New Roman" w:hAnsi="Times New Roman"/>
                <w:w w:val="80"/>
                <w:kern w:val="0"/>
                <w:sz w:val="20"/>
                <w:szCs w:val="20"/>
              </w:rPr>
              <w:t>为住院和门诊老年患者提供临床药学咨询服务。（</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查看临床药师资质证书；查阅临床药师参与用药指导的日常工作记录；了解药物咨询门诊的开展情况，查阅咨询记录。</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60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10.4  </w:t>
            </w:r>
            <w:r>
              <w:rPr>
                <w:rFonts w:ascii="Times New Roman" w:hAnsi="Times New Roman"/>
                <w:w w:val="80"/>
                <w:kern w:val="0"/>
                <w:sz w:val="20"/>
                <w:szCs w:val="20"/>
              </w:rPr>
              <w:t>为住院及门诊</w:t>
            </w:r>
            <w:r>
              <w:rPr>
                <w:rStyle w:val="font21"/>
                <w:rFonts w:ascii="Times New Roman" w:hAnsi="Times New Roman" w:cs="Times New Roman" w:hint="default"/>
                <w:color w:val="auto"/>
                <w:w w:val="80"/>
              </w:rPr>
              <w:t>老年患者提供老年营养</w:t>
            </w:r>
            <w:proofErr w:type="gramStart"/>
            <w:r>
              <w:rPr>
                <w:rStyle w:val="font21"/>
                <w:rFonts w:ascii="Times New Roman" w:hAnsi="Times New Roman" w:cs="Times New Roman" w:hint="default"/>
                <w:color w:val="auto"/>
                <w:w w:val="80"/>
              </w:rPr>
              <w:t>评状况</w:t>
            </w:r>
            <w:proofErr w:type="gramEnd"/>
            <w:r>
              <w:rPr>
                <w:rStyle w:val="font21"/>
                <w:rFonts w:ascii="Times New Roman" w:hAnsi="Times New Roman" w:cs="Times New Roman" w:hint="default"/>
                <w:color w:val="auto"/>
                <w:w w:val="80"/>
              </w:rPr>
              <w:t>筛查及指导服务。（</w:t>
            </w:r>
            <w:r>
              <w:rPr>
                <w:rStyle w:val="font21"/>
                <w:rFonts w:ascii="Times New Roman" w:hAnsi="Times New Roman" w:cs="Times New Roman" w:hint="default"/>
                <w:color w:val="auto"/>
                <w:w w:val="80"/>
              </w:rPr>
              <w:t>2</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实地考察是否开展营养筛查及干预。</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5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10.5  </w:t>
            </w:r>
            <w:r>
              <w:rPr>
                <w:rFonts w:ascii="Times New Roman" w:hAnsi="Times New Roman"/>
                <w:w w:val="80"/>
                <w:kern w:val="0"/>
                <w:sz w:val="20"/>
                <w:szCs w:val="20"/>
              </w:rPr>
              <w:t>对住院老年患者进行高风险状态的筛查，尤其是对营养状况、</w:t>
            </w:r>
            <w:r>
              <w:rPr>
                <w:rStyle w:val="font21"/>
                <w:rFonts w:ascii="Times New Roman" w:hAnsi="Times New Roman" w:cs="Times New Roman" w:hint="default"/>
                <w:color w:val="auto"/>
                <w:w w:val="80"/>
              </w:rPr>
              <w:t>跌倒、</w:t>
            </w:r>
            <w:r>
              <w:rPr>
                <w:rFonts w:ascii="Times New Roman" w:hAnsi="Times New Roman"/>
                <w:w w:val="80"/>
                <w:kern w:val="0"/>
                <w:sz w:val="20"/>
                <w:szCs w:val="20"/>
              </w:rPr>
              <w:t>下肢深静脉血栓、</w:t>
            </w:r>
            <w:r>
              <w:rPr>
                <w:rStyle w:val="font21"/>
                <w:rFonts w:ascii="Times New Roman" w:hAnsi="Times New Roman" w:cs="Times New Roman" w:hint="default"/>
                <w:color w:val="auto"/>
                <w:w w:val="80"/>
              </w:rPr>
              <w:t>误吸和坠床等情况，应建立风险防范措施与应急处置方案。（</w:t>
            </w:r>
            <w:r>
              <w:rPr>
                <w:rStyle w:val="font21"/>
                <w:rFonts w:ascii="Times New Roman" w:hAnsi="Times New Roman" w:cs="Times New Roman" w:hint="default"/>
                <w:color w:val="auto"/>
                <w:w w:val="80"/>
              </w:rPr>
              <w:t>3</w:t>
            </w:r>
            <w:r>
              <w:rPr>
                <w:rStyle w:val="font21"/>
                <w:rFonts w:ascii="Times New Roman" w:hAnsi="Times New Roman" w:cs="Times New Roman" w:hint="default"/>
                <w:color w:val="auto"/>
                <w:w w:val="8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查看门急诊、住院部有无对老年患者高风险状态的筛查方案、评定标准、防范措施和应急预案；现场查看门急诊、住院部各</w:t>
            </w:r>
            <w:r>
              <w:rPr>
                <w:rFonts w:ascii="Times New Roman" w:hAnsi="Times New Roman"/>
                <w:w w:val="80"/>
                <w:kern w:val="0"/>
                <w:sz w:val="20"/>
                <w:szCs w:val="20"/>
              </w:rPr>
              <w:t>2</w:t>
            </w:r>
            <w:r>
              <w:rPr>
                <w:rFonts w:ascii="Times New Roman" w:hAnsi="Times New Roman"/>
                <w:w w:val="80"/>
                <w:kern w:val="0"/>
                <w:sz w:val="20"/>
                <w:szCs w:val="20"/>
              </w:rPr>
              <w:t>名患者，是否有高风险状态的标识。</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84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10.6  </w:t>
            </w:r>
            <w:r>
              <w:rPr>
                <w:rFonts w:ascii="Times New Roman" w:hAnsi="Times New Roman"/>
                <w:w w:val="80"/>
                <w:kern w:val="0"/>
                <w:sz w:val="20"/>
                <w:szCs w:val="20"/>
              </w:rPr>
              <w:t>建立评估知情告知制度，告知内容应包括评估结果、影响因素和照护计划等。（</w:t>
            </w:r>
            <w:r>
              <w:rPr>
                <w:rFonts w:ascii="Times New Roman" w:hAnsi="Times New Roman"/>
                <w:w w:val="80"/>
                <w:kern w:val="0"/>
                <w:sz w:val="20"/>
                <w:szCs w:val="20"/>
              </w:rPr>
              <w:t>2</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查阅医院知情告知制度；查阅</w:t>
            </w:r>
            <w:r>
              <w:rPr>
                <w:rFonts w:ascii="Times New Roman" w:hAnsi="Times New Roman"/>
                <w:w w:val="80"/>
                <w:kern w:val="0"/>
                <w:sz w:val="20"/>
                <w:szCs w:val="20"/>
              </w:rPr>
              <w:t>2</w:t>
            </w:r>
            <w:r>
              <w:rPr>
                <w:rFonts w:ascii="Times New Roman" w:hAnsi="Times New Roman"/>
                <w:w w:val="80"/>
                <w:kern w:val="0"/>
                <w:sz w:val="20"/>
                <w:szCs w:val="20"/>
              </w:rPr>
              <w:t>份病历，看其知情告知制度的执行情况。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53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10.7  </w:t>
            </w:r>
            <w:r>
              <w:rPr>
                <w:rFonts w:ascii="Times New Roman" w:hAnsi="Times New Roman"/>
                <w:w w:val="80"/>
                <w:kern w:val="0"/>
                <w:sz w:val="20"/>
                <w:szCs w:val="20"/>
              </w:rPr>
              <w:t>老年患者及其家属参与诊疗与照护计划的制定。（</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访谈患者及其家属，了解参与照护计划制定的过程和效果。</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20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10.8  </w:t>
            </w:r>
            <w:r>
              <w:rPr>
                <w:rFonts w:ascii="Times New Roman" w:hAnsi="Times New Roman"/>
                <w:w w:val="80"/>
                <w:kern w:val="0"/>
                <w:sz w:val="20"/>
                <w:szCs w:val="20"/>
              </w:rPr>
              <w:t>对特殊老年群体，如失独、空巢、独居等老人，制定持续照护计划，可</w:t>
            </w:r>
            <w:r>
              <w:rPr>
                <w:rStyle w:val="font21"/>
                <w:rFonts w:ascii="Times New Roman" w:hAnsi="Times New Roman" w:cs="Times New Roman" w:hint="default"/>
                <w:color w:val="auto"/>
                <w:w w:val="80"/>
              </w:rPr>
              <w:t>建立预立医嘱和监护人签约制度</w:t>
            </w:r>
            <w:r>
              <w:rPr>
                <w:rFonts w:ascii="Times New Roman" w:hAnsi="Times New Roman"/>
                <w:w w:val="80"/>
                <w:kern w:val="0"/>
                <w:sz w:val="20"/>
                <w:szCs w:val="20"/>
              </w:rPr>
              <w:t>（已签约</w:t>
            </w:r>
            <w:proofErr w:type="gramStart"/>
            <w:r>
              <w:rPr>
                <w:rFonts w:ascii="Times New Roman" w:hAnsi="Times New Roman"/>
                <w:w w:val="80"/>
                <w:kern w:val="0"/>
                <w:sz w:val="20"/>
                <w:szCs w:val="20"/>
              </w:rPr>
              <w:t>安宁疗护病房</w:t>
            </w:r>
            <w:proofErr w:type="gramEnd"/>
            <w:r>
              <w:rPr>
                <w:rFonts w:ascii="Times New Roman" w:hAnsi="Times New Roman"/>
                <w:w w:val="80"/>
                <w:kern w:val="0"/>
                <w:sz w:val="20"/>
                <w:szCs w:val="20"/>
              </w:rPr>
              <w:t>的机构必须具备，否则扣</w:t>
            </w:r>
            <w:r>
              <w:rPr>
                <w:rFonts w:ascii="Times New Roman" w:hAnsi="Times New Roman"/>
                <w:w w:val="80"/>
                <w:kern w:val="0"/>
                <w:sz w:val="20"/>
                <w:szCs w:val="20"/>
              </w:rPr>
              <w:t>3</w:t>
            </w:r>
            <w:r>
              <w:rPr>
                <w:rFonts w:ascii="Times New Roman" w:hAnsi="Times New Roman"/>
                <w:w w:val="80"/>
                <w:kern w:val="0"/>
                <w:sz w:val="20"/>
                <w:szCs w:val="20"/>
              </w:rPr>
              <w:t>分；其余单位开展则加</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查看相关规定和执行情况。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08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11.</w:t>
            </w:r>
            <w:r>
              <w:rPr>
                <w:rFonts w:ascii="Times New Roman" w:hAnsi="Times New Roman"/>
                <w:kern w:val="0"/>
                <w:sz w:val="20"/>
                <w:szCs w:val="20"/>
              </w:rPr>
              <w:t>老年综合征管理（</w:t>
            </w:r>
            <w:r>
              <w:rPr>
                <w:rFonts w:ascii="Times New Roman" w:hAnsi="Times New Roman"/>
                <w:kern w:val="0"/>
                <w:sz w:val="20"/>
                <w:szCs w:val="20"/>
              </w:rPr>
              <w:t>12</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11.1  </w:t>
            </w:r>
            <w:r>
              <w:rPr>
                <w:rFonts w:ascii="Times New Roman" w:hAnsi="Times New Roman"/>
                <w:w w:val="80"/>
                <w:kern w:val="0"/>
                <w:sz w:val="20"/>
                <w:szCs w:val="20"/>
              </w:rPr>
              <w:t>至少应有防治老年人痴呆、抑郁、吞咽困难、尿失禁、便秘和睡眠障碍等老年综合征的评估与干预措施，并提供规范化的服务。（</w:t>
            </w:r>
            <w:r>
              <w:rPr>
                <w:rFonts w:ascii="Times New Roman" w:hAnsi="Times New Roman"/>
                <w:w w:val="80"/>
                <w:kern w:val="0"/>
                <w:sz w:val="20"/>
                <w:szCs w:val="20"/>
              </w:rPr>
              <w:t>6</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查阅老年常见疾病的管理文件，并在临床工作中得到规范化的应用。</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8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11.2  </w:t>
            </w:r>
            <w:r>
              <w:rPr>
                <w:rFonts w:ascii="Times New Roman" w:hAnsi="Times New Roman"/>
                <w:w w:val="80"/>
                <w:kern w:val="0"/>
                <w:sz w:val="20"/>
                <w:szCs w:val="20"/>
              </w:rPr>
              <w:t>至少应有老年人多重用药、营养不良、慢性伤口（包括褥疮）和下肢深静脉血栓等老年常见照护问题的评估与具体干预措施，并提供规范化服务。（</w:t>
            </w:r>
            <w:r>
              <w:rPr>
                <w:rFonts w:ascii="Times New Roman" w:hAnsi="Times New Roman"/>
                <w:w w:val="80"/>
                <w:kern w:val="0"/>
                <w:sz w:val="20"/>
                <w:szCs w:val="20"/>
              </w:rPr>
              <w:t>6</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查阅相关管理文件，并在临床工作中得到实际的应用。</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080"/>
        </w:trPr>
        <w:tc>
          <w:tcPr>
            <w:tcW w:w="117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四、老年友善环境（</w:t>
            </w:r>
            <w:r>
              <w:rPr>
                <w:rFonts w:ascii="Times New Roman" w:hAnsi="Times New Roman"/>
                <w:kern w:val="0"/>
                <w:sz w:val="20"/>
                <w:szCs w:val="20"/>
              </w:rPr>
              <w:t>25</w:t>
            </w:r>
            <w:r>
              <w:rPr>
                <w:rFonts w:ascii="Times New Roman" w:hAnsi="Times New Roman"/>
                <w:kern w:val="0"/>
                <w:sz w:val="20"/>
                <w:szCs w:val="20"/>
              </w:rPr>
              <w:t>分）</w:t>
            </w: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12.</w:t>
            </w:r>
            <w:r>
              <w:rPr>
                <w:rFonts w:ascii="Times New Roman" w:hAnsi="Times New Roman"/>
                <w:kern w:val="0"/>
                <w:sz w:val="20"/>
                <w:szCs w:val="20"/>
              </w:rPr>
              <w:t>交通与标识（</w:t>
            </w:r>
            <w:r>
              <w:rPr>
                <w:rFonts w:ascii="Times New Roman" w:hAnsi="Times New Roman"/>
                <w:kern w:val="0"/>
                <w:sz w:val="20"/>
                <w:szCs w:val="20"/>
              </w:rPr>
              <w:t>5</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12.1  </w:t>
            </w:r>
            <w:r>
              <w:rPr>
                <w:rFonts w:ascii="Times New Roman" w:hAnsi="Times New Roman"/>
                <w:w w:val="80"/>
                <w:kern w:val="0"/>
                <w:sz w:val="20"/>
                <w:szCs w:val="20"/>
              </w:rPr>
              <w:t>应有</w:t>
            </w:r>
            <w:proofErr w:type="gramStart"/>
            <w:r>
              <w:rPr>
                <w:rFonts w:ascii="Times New Roman" w:hAnsi="Times New Roman"/>
                <w:w w:val="80"/>
                <w:kern w:val="0"/>
                <w:sz w:val="20"/>
                <w:szCs w:val="20"/>
              </w:rPr>
              <w:t>适</w:t>
            </w:r>
            <w:proofErr w:type="gramEnd"/>
            <w:r>
              <w:rPr>
                <w:rFonts w:ascii="Times New Roman" w:hAnsi="Times New Roman"/>
                <w:w w:val="80"/>
                <w:kern w:val="0"/>
                <w:sz w:val="20"/>
                <w:szCs w:val="20"/>
              </w:rPr>
              <w:t>老化设施和无障碍设施，门急诊和</w:t>
            </w:r>
            <w:proofErr w:type="gramStart"/>
            <w:r>
              <w:rPr>
                <w:rFonts w:ascii="Times New Roman" w:hAnsi="Times New Roman"/>
                <w:w w:val="80"/>
                <w:kern w:val="0"/>
                <w:sz w:val="20"/>
                <w:szCs w:val="20"/>
              </w:rPr>
              <w:t>病区主</w:t>
            </w:r>
            <w:proofErr w:type="gramEnd"/>
            <w:r>
              <w:rPr>
                <w:rFonts w:ascii="Times New Roman" w:hAnsi="Times New Roman"/>
                <w:w w:val="80"/>
                <w:kern w:val="0"/>
                <w:sz w:val="20"/>
                <w:szCs w:val="20"/>
              </w:rPr>
              <w:t>出入口设有无障碍通道，并符合《无障碍设计规范》</w:t>
            </w:r>
            <w:r>
              <w:rPr>
                <w:rFonts w:ascii="Times New Roman" w:hAnsi="Times New Roman"/>
                <w:w w:val="80"/>
                <w:kern w:val="0"/>
                <w:sz w:val="20"/>
                <w:szCs w:val="20"/>
              </w:rPr>
              <w:t>(GB50763</w:t>
            </w:r>
            <w:r>
              <w:rPr>
                <w:rFonts w:ascii="Times New Roman" w:hAnsi="Times New Roman"/>
                <w:w w:val="80"/>
                <w:kern w:val="0"/>
                <w:sz w:val="20"/>
                <w:szCs w:val="20"/>
              </w:rPr>
              <w:t>）的有关要求。（</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巡查门、急诊大厅和病区，设施应符合《无障碍设计规范》</w:t>
            </w:r>
            <w:r>
              <w:rPr>
                <w:rFonts w:ascii="Times New Roman" w:hAnsi="Times New Roman"/>
                <w:w w:val="80"/>
                <w:kern w:val="0"/>
                <w:sz w:val="20"/>
                <w:szCs w:val="20"/>
              </w:rPr>
              <w:t>(GB50763</w:t>
            </w:r>
            <w:r>
              <w:rPr>
                <w:rFonts w:ascii="Times New Roman" w:hAnsi="Times New Roman"/>
                <w:w w:val="80"/>
                <w:kern w:val="0"/>
                <w:sz w:val="20"/>
                <w:szCs w:val="20"/>
              </w:rPr>
              <w:t>）的有关要求。</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78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12.2  </w:t>
            </w:r>
            <w:r>
              <w:rPr>
                <w:rFonts w:ascii="Times New Roman" w:hAnsi="Times New Roman"/>
                <w:w w:val="80"/>
                <w:kern w:val="0"/>
                <w:sz w:val="20"/>
                <w:szCs w:val="20"/>
              </w:rPr>
              <w:t>机构主要出入口处有方便老年人上下车的临时停车区和安全标识。（</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巡查临时停车区、限速、禁止鸣笛、急转弯、减速带等标识。</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8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12.3  </w:t>
            </w:r>
            <w:r>
              <w:rPr>
                <w:rFonts w:ascii="Times New Roman" w:hAnsi="Times New Roman"/>
                <w:w w:val="80"/>
                <w:kern w:val="0"/>
                <w:sz w:val="20"/>
                <w:szCs w:val="20"/>
              </w:rPr>
              <w:t>台阶、坡道、转弯处有安全警示标志。院内坡道应当符合《无障碍设计规范》（</w:t>
            </w:r>
            <w:r>
              <w:rPr>
                <w:rFonts w:ascii="Times New Roman" w:hAnsi="Times New Roman"/>
                <w:w w:val="80"/>
                <w:kern w:val="0"/>
                <w:sz w:val="20"/>
                <w:szCs w:val="20"/>
              </w:rPr>
              <w:t>GB50763</w:t>
            </w:r>
            <w:r>
              <w:rPr>
                <w:rFonts w:ascii="Times New Roman" w:hAnsi="Times New Roman"/>
                <w:w w:val="80"/>
                <w:kern w:val="0"/>
                <w:sz w:val="20"/>
                <w:szCs w:val="20"/>
              </w:rPr>
              <w:t>）</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 xml:space="preserve">4 </w:t>
            </w:r>
            <w:r>
              <w:rPr>
                <w:rFonts w:ascii="Times New Roman" w:hAnsi="Times New Roman"/>
                <w:w w:val="80"/>
                <w:kern w:val="0"/>
                <w:sz w:val="20"/>
                <w:szCs w:val="20"/>
              </w:rPr>
              <w:t>轮椅坡道</w:t>
            </w:r>
            <w:r>
              <w:rPr>
                <w:rFonts w:ascii="Times New Roman" w:hAnsi="Times New Roman"/>
                <w:w w:val="80"/>
                <w:kern w:val="0"/>
                <w:sz w:val="20"/>
                <w:szCs w:val="20"/>
              </w:rPr>
              <w:t>”</w:t>
            </w:r>
            <w:r>
              <w:rPr>
                <w:rFonts w:ascii="Times New Roman" w:hAnsi="Times New Roman"/>
                <w:w w:val="80"/>
                <w:kern w:val="0"/>
                <w:sz w:val="20"/>
                <w:szCs w:val="20"/>
              </w:rPr>
              <w:t>的要求。（</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巡查门、急诊和病区的各种通道。</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18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12.4  </w:t>
            </w:r>
            <w:r>
              <w:rPr>
                <w:rFonts w:ascii="Times New Roman" w:hAnsi="Times New Roman"/>
                <w:w w:val="80"/>
                <w:kern w:val="0"/>
                <w:sz w:val="20"/>
                <w:szCs w:val="20"/>
              </w:rPr>
              <w:t>院区的车行道与人行通道地面有高差时，在人行通道的路口及人行横道的两端应设缘石坡道。院区的主要人行通道当有高差或台阶时应设置轮椅坡道或无障碍电梯。（</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巡查门、急诊和病区的各种通道。</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48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12.5  </w:t>
            </w:r>
            <w:r>
              <w:rPr>
                <w:rFonts w:ascii="Times New Roman" w:hAnsi="Times New Roman"/>
                <w:w w:val="80"/>
                <w:kern w:val="0"/>
                <w:sz w:val="20"/>
                <w:szCs w:val="20"/>
              </w:rPr>
              <w:t>主要道路岔口处、建筑主出入口处、建筑内各楼层通道分叉显眼处、电梯内外按钮，均应设有颜色醒目、较大字体、简单易懂的标识，标识要安装在适当的高度和位置，使轮椅和行走者都能看到。（</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重点巡查标识的数量、质量、位置和高度情况。无障碍标识、信息应当符合《无障碍设计规范》（</w:t>
            </w:r>
            <w:r>
              <w:rPr>
                <w:rFonts w:ascii="Times New Roman" w:hAnsi="Times New Roman"/>
                <w:w w:val="80"/>
                <w:kern w:val="0"/>
                <w:sz w:val="20"/>
                <w:szCs w:val="20"/>
              </w:rPr>
              <w:t>GB50763</w:t>
            </w:r>
            <w:r>
              <w:rPr>
                <w:rFonts w:ascii="Times New Roman" w:hAnsi="Times New Roman"/>
                <w:w w:val="80"/>
                <w:kern w:val="0"/>
                <w:sz w:val="20"/>
                <w:szCs w:val="20"/>
              </w:rPr>
              <w:t>）</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 xml:space="preserve">16 </w:t>
            </w:r>
            <w:r>
              <w:rPr>
                <w:rFonts w:ascii="Times New Roman" w:hAnsi="Times New Roman"/>
                <w:w w:val="80"/>
                <w:kern w:val="0"/>
                <w:sz w:val="20"/>
                <w:szCs w:val="20"/>
              </w:rPr>
              <w:t>无障碍标识系统、信息无障碍</w:t>
            </w:r>
            <w:r>
              <w:rPr>
                <w:rFonts w:ascii="Times New Roman" w:hAnsi="Times New Roman"/>
                <w:w w:val="80"/>
                <w:kern w:val="0"/>
                <w:sz w:val="20"/>
                <w:szCs w:val="20"/>
              </w:rPr>
              <w:t>”</w:t>
            </w:r>
            <w:r>
              <w:rPr>
                <w:rFonts w:ascii="Times New Roman" w:hAnsi="Times New Roman"/>
                <w:w w:val="80"/>
                <w:kern w:val="0"/>
                <w:sz w:val="20"/>
                <w:szCs w:val="20"/>
              </w:rPr>
              <w:t>的要求，小标识牌字体大小至少应不小于</w:t>
            </w:r>
            <w:r>
              <w:rPr>
                <w:rFonts w:ascii="Times New Roman" w:hAnsi="Times New Roman"/>
                <w:w w:val="80"/>
                <w:kern w:val="0"/>
                <w:sz w:val="20"/>
                <w:szCs w:val="20"/>
              </w:rPr>
              <w:t>30mm</w:t>
            </w:r>
            <w:r>
              <w:rPr>
                <w:rFonts w:ascii="Times New Roman" w:hAnsi="Times New Roman"/>
                <w:w w:val="80"/>
                <w:kern w:val="0"/>
                <w:sz w:val="20"/>
                <w:szCs w:val="20"/>
              </w:rPr>
              <w:t>，大标识牌字体应不小于</w:t>
            </w:r>
            <w:r>
              <w:rPr>
                <w:rFonts w:ascii="Times New Roman" w:hAnsi="Times New Roman"/>
                <w:w w:val="80"/>
                <w:kern w:val="0"/>
                <w:sz w:val="20"/>
                <w:szCs w:val="20"/>
              </w:rPr>
              <w:t>60mm</w:t>
            </w:r>
            <w:r>
              <w:rPr>
                <w:rFonts w:ascii="Times New Roman" w:hAnsi="Times New Roman"/>
                <w:w w:val="80"/>
                <w:kern w:val="0"/>
                <w:sz w:val="20"/>
                <w:szCs w:val="20"/>
              </w:rPr>
              <w:t>；标识颜色对比明显，字体和材质基本统一，导引图上标明有当前位置。</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10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13.</w:t>
            </w:r>
            <w:r>
              <w:rPr>
                <w:rFonts w:ascii="Times New Roman" w:hAnsi="Times New Roman"/>
                <w:kern w:val="0"/>
                <w:sz w:val="20"/>
                <w:szCs w:val="20"/>
              </w:rPr>
              <w:t>建筑与环境（</w:t>
            </w:r>
            <w:r>
              <w:rPr>
                <w:rFonts w:ascii="Times New Roman" w:hAnsi="Times New Roman"/>
                <w:kern w:val="0"/>
                <w:sz w:val="20"/>
                <w:szCs w:val="20"/>
              </w:rPr>
              <w:t>11</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13.1  </w:t>
            </w:r>
            <w:r>
              <w:rPr>
                <w:rFonts w:ascii="Times New Roman" w:hAnsi="Times New Roman"/>
                <w:w w:val="80"/>
                <w:kern w:val="0"/>
                <w:sz w:val="20"/>
                <w:szCs w:val="20"/>
              </w:rPr>
              <w:t>室内通道应设置无障碍通道，净宽不应小于</w:t>
            </w:r>
            <w:r>
              <w:rPr>
                <w:rFonts w:ascii="Times New Roman" w:hAnsi="Times New Roman"/>
                <w:w w:val="80"/>
                <w:kern w:val="0"/>
                <w:sz w:val="20"/>
                <w:szCs w:val="20"/>
              </w:rPr>
              <w:t>1</w:t>
            </w:r>
            <w:r>
              <w:rPr>
                <w:rFonts w:ascii="Times New Roman" w:hAnsi="Times New Roman"/>
                <w:w w:val="80"/>
                <w:kern w:val="0"/>
                <w:sz w:val="20"/>
                <w:szCs w:val="20"/>
              </w:rPr>
              <w:t>．</w:t>
            </w:r>
            <w:r>
              <w:rPr>
                <w:rFonts w:ascii="Times New Roman" w:hAnsi="Times New Roman"/>
                <w:w w:val="80"/>
                <w:kern w:val="0"/>
                <w:sz w:val="20"/>
                <w:szCs w:val="20"/>
              </w:rPr>
              <w:t>80m</w:t>
            </w:r>
            <w:r>
              <w:rPr>
                <w:rFonts w:ascii="Times New Roman" w:hAnsi="Times New Roman"/>
                <w:w w:val="80"/>
                <w:kern w:val="0"/>
                <w:sz w:val="20"/>
                <w:szCs w:val="20"/>
              </w:rPr>
              <w:t>，并按照《无障碍设计规范》第</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8</w:t>
            </w:r>
            <w:r>
              <w:rPr>
                <w:rFonts w:ascii="Times New Roman" w:hAnsi="Times New Roman"/>
                <w:w w:val="80"/>
                <w:kern w:val="0"/>
                <w:sz w:val="20"/>
                <w:szCs w:val="20"/>
              </w:rPr>
              <w:t>节的要求设置扶手。（</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重点巡查医院室外环境、楼宇分布和颜色搭配、地面建筑情况。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91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13.2 </w:t>
            </w:r>
            <w:r>
              <w:rPr>
                <w:rFonts w:ascii="Times New Roman" w:hAnsi="Times New Roman"/>
                <w:w w:val="80"/>
                <w:kern w:val="0"/>
                <w:sz w:val="20"/>
                <w:szCs w:val="20"/>
              </w:rPr>
              <w:t>门开启后的通行净宽度不应小于</w:t>
            </w:r>
            <w:r>
              <w:rPr>
                <w:rFonts w:ascii="Times New Roman" w:hAnsi="Times New Roman"/>
                <w:w w:val="80"/>
                <w:kern w:val="0"/>
                <w:sz w:val="20"/>
                <w:szCs w:val="20"/>
              </w:rPr>
              <w:t>0.80m</w:t>
            </w:r>
            <w:r>
              <w:rPr>
                <w:rFonts w:ascii="Times New Roman" w:hAnsi="Times New Roman"/>
                <w:w w:val="80"/>
                <w:kern w:val="0"/>
                <w:sz w:val="20"/>
                <w:szCs w:val="20"/>
              </w:rPr>
              <w:t>，并应符合《无障碍设计规范》第</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5</w:t>
            </w:r>
            <w:r>
              <w:rPr>
                <w:rFonts w:ascii="Times New Roman" w:hAnsi="Times New Roman"/>
                <w:w w:val="80"/>
                <w:kern w:val="0"/>
                <w:sz w:val="20"/>
                <w:szCs w:val="20"/>
              </w:rPr>
              <w:t>节的要求。（</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重点巡查医院各种建筑设施情况。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r>
      <w:tr w:rsidR="005251D4" w:rsidTr="00955ED6">
        <w:trPr>
          <w:trHeight w:val="9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13.3  </w:t>
            </w:r>
            <w:r>
              <w:rPr>
                <w:rFonts w:ascii="Times New Roman" w:hAnsi="Times New Roman"/>
                <w:w w:val="80"/>
                <w:kern w:val="0"/>
                <w:sz w:val="20"/>
                <w:szCs w:val="20"/>
              </w:rPr>
              <w:t>机构内部环境整洁，建筑物以暖色调为主，院内地板防滑、无反光。（</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重点巡查医院各种建筑设施的颜色组合情况。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679"/>
        </w:trPr>
        <w:tc>
          <w:tcPr>
            <w:tcW w:w="117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四、老年友善环境（</w:t>
            </w:r>
            <w:r>
              <w:rPr>
                <w:rFonts w:ascii="Times New Roman" w:hAnsi="Times New Roman"/>
                <w:kern w:val="0"/>
                <w:sz w:val="20"/>
                <w:szCs w:val="20"/>
              </w:rPr>
              <w:t>25</w:t>
            </w:r>
            <w:r>
              <w:rPr>
                <w:rFonts w:ascii="Times New Roman" w:hAnsi="Times New Roman"/>
                <w:kern w:val="0"/>
                <w:sz w:val="20"/>
                <w:szCs w:val="20"/>
              </w:rPr>
              <w:t>分）</w:t>
            </w: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13.4  </w:t>
            </w:r>
            <w:r>
              <w:rPr>
                <w:rFonts w:ascii="Times New Roman" w:hAnsi="Times New Roman"/>
                <w:w w:val="80"/>
                <w:kern w:val="0"/>
                <w:sz w:val="20"/>
                <w:szCs w:val="20"/>
              </w:rPr>
              <w:t>病房区域照明均匀充足，无眩光，病房内设置有夜灯。（</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重点巡查病房灯光照明情况。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1598"/>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13.5  </w:t>
            </w:r>
            <w:r>
              <w:rPr>
                <w:rFonts w:ascii="Times New Roman" w:hAnsi="Times New Roman"/>
                <w:w w:val="80"/>
                <w:kern w:val="0"/>
                <w:sz w:val="20"/>
                <w:szCs w:val="20"/>
              </w:rPr>
              <w:t>首层应至少设置</w:t>
            </w:r>
            <w:r>
              <w:rPr>
                <w:rFonts w:ascii="Times New Roman" w:hAnsi="Times New Roman"/>
                <w:w w:val="80"/>
                <w:kern w:val="0"/>
                <w:sz w:val="20"/>
                <w:szCs w:val="20"/>
              </w:rPr>
              <w:t>1</w:t>
            </w:r>
            <w:r>
              <w:rPr>
                <w:rFonts w:ascii="Times New Roman" w:hAnsi="Times New Roman"/>
                <w:w w:val="80"/>
                <w:kern w:val="0"/>
                <w:sz w:val="20"/>
                <w:szCs w:val="20"/>
              </w:rPr>
              <w:t>处无障碍厕所；各楼层至少有</w:t>
            </w:r>
            <w:r>
              <w:rPr>
                <w:rFonts w:ascii="Times New Roman" w:hAnsi="Times New Roman"/>
                <w:w w:val="80"/>
                <w:kern w:val="0"/>
                <w:sz w:val="20"/>
                <w:szCs w:val="20"/>
              </w:rPr>
              <w:t>1</w:t>
            </w:r>
            <w:r>
              <w:rPr>
                <w:rFonts w:ascii="Times New Roman" w:hAnsi="Times New Roman"/>
                <w:w w:val="80"/>
                <w:kern w:val="0"/>
                <w:sz w:val="20"/>
                <w:szCs w:val="20"/>
              </w:rPr>
              <w:t>处公共厕所应满足《无障碍设计规范》第</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9</w:t>
            </w:r>
            <w:r>
              <w:rPr>
                <w:rFonts w:ascii="Times New Roman" w:hAnsi="Times New Roman"/>
                <w:w w:val="80"/>
                <w:kern w:val="0"/>
                <w:sz w:val="20"/>
                <w:szCs w:val="20"/>
              </w:rPr>
              <w:t>．</w:t>
            </w:r>
            <w:r>
              <w:rPr>
                <w:rFonts w:ascii="Times New Roman" w:hAnsi="Times New Roman"/>
                <w:w w:val="80"/>
                <w:kern w:val="0"/>
                <w:sz w:val="20"/>
                <w:szCs w:val="20"/>
              </w:rPr>
              <w:t>1</w:t>
            </w:r>
            <w:r>
              <w:rPr>
                <w:rFonts w:ascii="Times New Roman" w:hAnsi="Times New Roman"/>
                <w:w w:val="80"/>
                <w:kern w:val="0"/>
                <w:sz w:val="20"/>
                <w:szCs w:val="20"/>
              </w:rPr>
              <w:t>条的有关规定或设置无障碍厕所；病房内的厕所应设置安全抓杆，并符合《无障碍设计规范》第</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9</w:t>
            </w:r>
            <w:r>
              <w:rPr>
                <w:rFonts w:ascii="Times New Roman" w:hAnsi="Times New Roman"/>
                <w:w w:val="80"/>
                <w:kern w:val="0"/>
                <w:sz w:val="20"/>
                <w:szCs w:val="20"/>
              </w:rPr>
              <w:t>．</w:t>
            </w:r>
            <w:r>
              <w:rPr>
                <w:rFonts w:ascii="Times New Roman" w:hAnsi="Times New Roman"/>
                <w:w w:val="80"/>
                <w:kern w:val="0"/>
                <w:sz w:val="20"/>
                <w:szCs w:val="20"/>
              </w:rPr>
              <w:t>4</w:t>
            </w:r>
            <w:r>
              <w:rPr>
                <w:rFonts w:ascii="Times New Roman" w:hAnsi="Times New Roman"/>
                <w:w w:val="80"/>
                <w:kern w:val="0"/>
                <w:sz w:val="20"/>
                <w:szCs w:val="20"/>
              </w:rPr>
              <w:t>条的有关规定。（</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重点巡查医院设置情况。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61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13.6  </w:t>
            </w:r>
            <w:r>
              <w:rPr>
                <w:rFonts w:ascii="Times New Roman" w:hAnsi="Times New Roman"/>
                <w:w w:val="80"/>
                <w:kern w:val="0"/>
                <w:sz w:val="20"/>
                <w:szCs w:val="20"/>
              </w:rPr>
              <w:t>病室配有时钟、日历和提示板、夜灯。（</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巡查病室内情况。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9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13.7  </w:t>
            </w:r>
            <w:r w:rsidRPr="00193120">
              <w:rPr>
                <w:kern w:val="0"/>
                <w:sz w:val="20"/>
                <w:szCs w:val="20"/>
              </w:rPr>
              <w:t>病室温、湿度</w:t>
            </w:r>
            <w:proofErr w:type="gramStart"/>
            <w:r w:rsidRPr="00193120">
              <w:rPr>
                <w:kern w:val="0"/>
                <w:sz w:val="20"/>
                <w:szCs w:val="20"/>
              </w:rPr>
              <w:t>度</w:t>
            </w:r>
            <w:proofErr w:type="gramEnd"/>
            <w:r w:rsidRPr="00193120">
              <w:rPr>
                <w:kern w:val="0"/>
                <w:sz w:val="20"/>
                <w:szCs w:val="20"/>
              </w:rPr>
              <w:t>适中，温度保持在</w:t>
            </w:r>
            <w:r w:rsidRPr="00193120">
              <w:rPr>
                <w:kern w:val="0"/>
                <w:sz w:val="20"/>
                <w:szCs w:val="20"/>
              </w:rPr>
              <w:t>20℃--27℃</w:t>
            </w:r>
            <w:r w:rsidRPr="00193120">
              <w:rPr>
                <w:kern w:val="0"/>
                <w:sz w:val="20"/>
                <w:szCs w:val="20"/>
              </w:rPr>
              <w:t>之间，湿度</w:t>
            </w:r>
            <w:r w:rsidRPr="00193120">
              <w:rPr>
                <w:kern w:val="0"/>
                <w:sz w:val="20"/>
                <w:szCs w:val="20"/>
              </w:rPr>
              <w:t>50%-60%</w:t>
            </w:r>
            <w:r w:rsidRPr="00193120">
              <w:rPr>
                <w:kern w:val="0"/>
                <w:sz w:val="20"/>
                <w:szCs w:val="20"/>
              </w:rPr>
              <w:t>。（</w:t>
            </w:r>
            <w:r w:rsidRPr="00193120">
              <w:rPr>
                <w:kern w:val="0"/>
                <w:sz w:val="20"/>
                <w:szCs w:val="20"/>
              </w:rPr>
              <w:t>1</w:t>
            </w:r>
            <w:r w:rsidRPr="00193120">
              <w:rPr>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监测病室内的温度、</w:t>
            </w:r>
            <w:r w:rsidRPr="00193120">
              <w:rPr>
                <w:rStyle w:val="font71"/>
                <w:rFonts w:ascii="Times New Roman" w:hAnsi="Times New Roman" w:hint="default"/>
                <w:color w:val="auto"/>
                <w:w w:val="80"/>
              </w:rPr>
              <w:t>湿度情况。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84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13.8  </w:t>
            </w:r>
            <w:r>
              <w:rPr>
                <w:rFonts w:ascii="Times New Roman" w:hAnsi="Times New Roman"/>
                <w:w w:val="80"/>
                <w:kern w:val="0"/>
                <w:sz w:val="20"/>
                <w:szCs w:val="20"/>
              </w:rPr>
              <w:t>走道、坡道、楼梯表面有防滑措施，走道、坡道的宽度不小于</w:t>
            </w:r>
            <w:r>
              <w:rPr>
                <w:rFonts w:ascii="Times New Roman" w:hAnsi="Times New Roman"/>
                <w:w w:val="80"/>
                <w:kern w:val="0"/>
                <w:sz w:val="20"/>
                <w:szCs w:val="20"/>
              </w:rPr>
              <w:t>2.4</w:t>
            </w:r>
            <w:r>
              <w:rPr>
                <w:rFonts w:ascii="Times New Roman" w:hAnsi="Times New Roman"/>
                <w:w w:val="80"/>
                <w:kern w:val="0"/>
                <w:sz w:val="20"/>
                <w:szCs w:val="20"/>
              </w:rPr>
              <w:t>米。（</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重点巡查病室外、楼宇内各种通道是否宽敞、无障碍。</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7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13.9  </w:t>
            </w:r>
            <w:r>
              <w:rPr>
                <w:rFonts w:ascii="Times New Roman" w:hAnsi="Times New Roman"/>
                <w:w w:val="80"/>
                <w:kern w:val="0"/>
                <w:sz w:val="20"/>
                <w:szCs w:val="20"/>
              </w:rPr>
              <w:t>距离较长（超过</w:t>
            </w:r>
            <w:r>
              <w:rPr>
                <w:rFonts w:ascii="Times New Roman" w:hAnsi="Times New Roman"/>
                <w:w w:val="80"/>
                <w:kern w:val="0"/>
                <w:sz w:val="20"/>
                <w:szCs w:val="20"/>
              </w:rPr>
              <w:t>100</w:t>
            </w:r>
            <w:r>
              <w:rPr>
                <w:rFonts w:ascii="Times New Roman" w:hAnsi="Times New Roman"/>
                <w:w w:val="80"/>
                <w:kern w:val="0"/>
                <w:sz w:val="20"/>
                <w:szCs w:val="20"/>
              </w:rPr>
              <w:t>米）的走道设有休息区或休息椅。（</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巡查院区配置情况。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9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13.10  </w:t>
            </w:r>
            <w:r>
              <w:rPr>
                <w:rFonts w:ascii="Times New Roman" w:hAnsi="Times New Roman"/>
                <w:w w:val="80"/>
                <w:kern w:val="0"/>
                <w:sz w:val="20"/>
                <w:szCs w:val="20"/>
              </w:rPr>
              <w:t>住院部病人活动室墙面四周扶手的设置应满足《无障碍设计规范》第</w:t>
            </w:r>
            <w:r>
              <w:rPr>
                <w:rFonts w:ascii="Times New Roman" w:hAnsi="Times New Roman"/>
                <w:w w:val="80"/>
                <w:kern w:val="0"/>
                <w:sz w:val="20"/>
                <w:szCs w:val="20"/>
              </w:rPr>
              <w:t>3</w:t>
            </w:r>
            <w:r>
              <w:rPr>
                <w:rFonts w:ascii="Times New Roman" w:hAnsi="Times New Roman"/>
                <w:w w:val="80"/>
                <w:kern w:val="0"/>
                <w:sz w:val="20"/>
                <w:szCs w:val="20"/>
              </w:rPr>
              <w:t>．</w:t>
            </w:r>
            <w:r>
              <w:rPr>
                <w:rFonts w:ascii="Times New Roman" w:hAnsi="Times New Roman"/>
                <w:w w:val="80"/>
                <w:kern w:val="0"/>
                <w:sz w:val="20"/>
                <w:szCs w:val="20"/>
              </w:rPr>
              <w:t>8</w:t>
            </w:r>
            <w:r>
              <w:rPr>
                <w:rFonts w:ascii="Times New Roman" w:hAnsi="Times New Roman"/>
                <w:w w:val="80"/>
                <w:kern w:val="0"/>
                <w:sz w:val="20"/>
                <w:szCs w:val="20"/>
              </w:rPr>
              <w:t>节的有关规定。（</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巡查各处扶手安装情况。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102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13.11  </w:t>
            </w:r>
            <w:r>
              <w:rPr>
                <w:rFonts w:ascii="Times New Roman" w:hAnsi="Times New Roman"/>
                <w:w w:val="80"/>
                <w:kern w:val="0"/>
                <w:sz w:val="20"/>
                <w:szCs w:val="20"/>
              </w:rPr>
              <w:t>病床之间以及病床与家具之间有足够的空间可供轮椅通行，宽度不小于</w:t>
            </w:r>
            <w:r>
              <w:rPr>
                <w:rFonts w:ascii="Times New Roman" w:hAnsi="Times New Roman"/>
                <w:w w:val="80"/>
                <w:kern w:val="0"/>
                <w:sz w:val="20"/>
                <w:szCs w:val="20"/>
              </w:rPr>
              <w:t>1.2</w:t>
            </w:r>
            <w:r>
              <w:rPr>
                <w:rFonts w:ascii="Times New Roman" w:hAnsi="Times New Roman"/>
                <w:w w:val="80"/>
                <w:kern w:val="0"/>
                <w:sz w:val="20"/>
                <w:szCs w:val="20"/>
              </w:rPr>
              <w:t>米，回转空间直径不小于</w:t>
            </w:r>
            <w:r>
              <w:rPr>
                <w:rFonts w:ascii="Times New Roman" w:hAnsi="Times New Roman"/>
                <w:w w:val="80"/>
                <w:kern w:val="0"/>
                <w:sz w:val="20"/>
                <w:szCs w:val="20"/>
              </w:rPr>
              <w:t>1.5</w:t>
            </w:r>
            <w:r>
              <w:rPr>
                <w:rFonts w:ascii="Times New Roman" w:hAnsi="Times New Roman"/>
                <w:w w:val="80"/>
                <w:kern w:val="0"/>
                <w:sz w:val="20"/>
                <w:szCs w:val="20"/>
              </w:rPr>
              <w:t>米。（</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巡查病室内空间大小情况。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739"/>
        </w:trPr>
        <w:tc>
          <w:tcPr>
            <w:tcW w:w="117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sz w:val="20"/>
                <w:szCs w:val="20"/>
              </w:rPr>
            </w:pPr>
            <w:r>
              <w:rPr>
                <w:rFonts w:ascii="Times New Roman" w:hAnsi="Times New Roman"/>
                <w:kern w:val="0"/>
                <w:sz w:val="20"/>
                <w:szCs w:val="20"/>
              </w:rPr>
              <w:t>四、老年友善环境（</w:t>
            </w:r>
            <w:r>
              <w:rPr>
                <w:rFonts w:ascii="Times New Roman" w:hAnsi="Times New Roman"/>
                <w:kern w:val="0"/>
                <w:sz w:val="20"/>
                <w:szCs w:val="20"/>
              </w:rPr>
              <w:t>25</w:t>
            </w:r>
            <w:r>
              <w:rPr>
                <w:rFonts w:ascii="Times New Roman" w:hAnsi="Times New Roman"/>
                <w:kern w:val="0"/>
                <w:sz w:val="20"/>
                <w:szCs w:val="20"/>
              </w:rPr>
              <w:t>分）</w:t>
            </w:r>
          </w:p>
        </w:tc>
        <w:tc>
          <w:tcPr>
            <w:tcW w:w="1710"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jc w:val="center"/>
              <w:textAlignment w:val="center"/>
              <w:rPr>
                <w:rFonts w:ascii="Times New Roman" w:hAnsi="Times New Roman"/>
                <w:sz w:val="20"/>
                <w:szCs w:val="20"/>
              </w:rPr>
            </w:pPr>
            <w:r>
              <w:rPr>
                <w:rFonts w:ascii="Times New Roman" w:hAnsi="Times New Roman"/>
                <w:kern w:val="0"/>
                <w:sz w:val="20"/>
                <w:szCs w:val="20"/>
              </w:rPr>
              <w:t>14.</w:t>
            </w:r>
            <w:r>
              <w:rPr>
                <w:rFonts w:ascii="Times New Roman" w:hAnsi="Times New Roman"/>
                <w:kern w:val="0"/>
                <w:sz w:val="20"/>
                <w:szCs w:val="20"/>
              </w:rPr>
              <w:t>设施与家具（</w:t>
            </w:r>
            <w:r>
              <w:rPr>
                <w:rFonts w:ascii="Times New Roman" w:hAnsi="Times New Roman"/>
                <w:kern w:val="0"/>
                <w:sz w:val="20"/>
                <w:szCs w:val="20"/>
              </w:rPr>
              <w:t>9</w:t>
            </w:r>
            <w:r>
              <w:rPr>
                <w:rFonts w:ascii="Times New Roman" w:hAnsi="Times New Roman"/>
                <w:kern w:val="0"/>
                <w:sz w:val="20"/>
                <w:szCs w:val="20"/>
              </w:rPr>
              <w:t>分）</w:t>
            </w: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14.1  </w:t>
            </w:r>
            <w:r>
              <w:rPr>
                <w:rFonts w:ascii="Times New Roman" w:hAnsi="Times New Roman"/>
                <w:w w:val="80"/>
                <w:kern w:val="0"/>
                <w:sz w:val="20"/>
                <w:szCs w:val="20"/>
              </w:rPr>
              <w:t>病床旁边应设置呼叫器及清晰易于使用</w:t>
            </w:r>
            <w:proofErr w:type="gramStart"/>
            <w:r>
              <w:rPr>
                <w:rFonts w:ascii="Times New Roman" w:hAnsi="Times New Roman"/>
                <w:w w:val="80"/>
                <w:kern w:val="0"/>
                <w:sz w:val="20"/>
                <w:szCs w:val="20"/>
              </w:rPr>
              <w:t>的床灯开关</w:t>
            </w:r>
            <w:proofErr w:type="gramEnd"/>
            <w:r>
              <w:rPr>
                <w:rFonts w:ascii="Times New Roman" w:hAnsi="Times New Roman"/>
                <w:w w:val="80"/>
                <w:kern w:val="0"/>
                <w:sz w:val="20"/>
                <w:szCs w:val="20"/>
              </w:rPr>
              <w:t>。（</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巡查病室内床旁设施配置情况。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799"/>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14.2  </w:t>
            </w:r>
            <w:r>
              <w:rPr>
                <w:rFonts w:ascii="Times New Roman" w:hAnsi="Times New Roman"/>
                <w:w w:val="80"/>
                <w:kern w:val="0"/>
                <w:sz w:val="20"/>
                <w:szCs w:val="20"/>
              </w:rPr>
              <w:t>卫生间门的宽度满足轮椅进出尺寸要求，宽度不少于</w:t>
            </w:r>
            <w:r>
              <w:rPr>
                <w:rFonts w:ascii="Times New Roman" w:hAnsi="Times New Roman"/>
                <w:w w:val="80"/>
                <w:kern w:val="0"/>
                <w:sz w:val="20"/>
                <w:szCs w:val="20"/>
              </w:rPr>
              <w:t>0.8</w:t>
            </w:r>
            <w:r>
              <w:rPr>
                <w:rFonts w:ascii="Times New Roman" w:hAnsi="Times New Roman"/>
                <w:w w:val="80"/>
                <w:kern w:val="0"/>
                <w:sz w:val="20"/>
                <w:szCs w:val="20"/>
              </w:rPr>
              <w:t>米，回转空间直径不小于</w:t>
            </w:r>
            <w:r>
              <w:rPr>
                <w:rFonts w:ascii="Times New Roman" w:hAnsi="Times New Roman"/>
                <w:w w:val="80"/>
                <w:kern w:val="0"/>
                <w:sz w:val="20"/>
                <w:szCs w:val="20"/>
              </w:rPr>
              <w:t>1.5</w:t>
            </w:r>
            <w:r>
              <w:rPr>
                <w:rFonts w:ascii="Times New Roman" w:hAnsi="Times New Roman"/>
                <w:w w:val="80"/>
                <w:kern w:val="0"/>
                <w:sz w:val="20"/>
                <w:szCs w:val="20"/>
              </w:rPr>
              <w:t>米。（</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重点巡查病房和公共区域卫生间的安全设施和空间大小。</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112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14.3  </w:t>
            </w:r>
            <w:r>
              <w:rPr>
                <w:rFonts w:ascii="Times New Roman" w:hAnsi="Times New Roman"/>
                <w:w w:val="80"/>
                <w:kern w:val="0"/>
                <w:sz w:val="20"/>
                <w:szCs w:val="20"/>
              </w:rPr>
              <w:t>设有老年医学科住院病房的，每护理单元应设置浴室，浴室设施能满足自理、半失能和失能老年患者的多种需求；浴室内设有马桶和座椅。（</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巡查病区浴室配置和安全设施情况。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96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14.4  </w:t>
            </w:r>
            <w:r>
              <w:rPr>
                <w:rFonts w:ascii="Times New Roman" w:hAnsi="Times New Roman"/>
                <w:w w:val="80"/>
                <w:kern w:val="0"/>
                <w:sz w:val="20"/>
                <w:szCs w:val="20"/>
              </w:rPr>
              <w:t>建筑内设有电梯时，每组电梯应至少设置</w:t>
            </w:r>
            <w:r>
              <w:rPr>
                <w:rFonts w:ascii="Times New Roman" w:hAnsi="Times New Roman"/>
                <w:w w:val="80"/>
                <w:kern w:val="0"/>
                <w:sz w:val="20"/>
                <w:szCs w:val="20"/>
              </w:rPr>
              <w:t>1</w:t>
            </w:r>
            <w:r>
              <w:rPr>
                <w:rFonts w:ascii="Times New Roman" w:hAnsi="Times New Roman"/>
                <w:w w:val="80"/>
                <w:kern w:val="0"/>
                <w:sz w:val="20"/>
                <w:szCs w:val="20"/>
              </w:rPr>
              <w:t>部无障碍电梯。易从主入口和重要通道进入电梯，电梯门、电动门自动阻尼延时</w:t>
            </w:r>
            <w:r>
              <w:rPr>
                <w:rFonts w:ascii="Times New Roman" w:hAnsi="Times New Roman"/>
                <w:w w:val="80"/>
                <w:kern w:val="0"/>
                <w:sz w:val="20"/>
                <w:szCs w:val="20"/>
              </w:rPr>
              <w:t>≥4</w:t>
            </w:r>
            <w:r>
              <w:rPr>
                <w:rFonts w:ascii="Times New Roman" w:hAnsi="Times New Roman"/>
                <w:w w:val="80"/>
                <w:kern w:val="0"/>
                <w:sz w:val="20"/>
                <w:szCs w:val="20"/>
              </w:rPr>
              <w:t>秒。（</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重点巡查医院电梯配置、电梯门开合时间是否适合于老年人。</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1002"/>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14.5  </w:t>
            </w:r>
            <w:r>
              <w:rPr>
                <w:rFonts w:ascii="Times New Roman" w:hAnsi="Times New Roman"/>
                <w:w w:val="80"/>
                <w:kern w:val="0"/>
                <w:sz w:val="20"/>
                <w:szCs w:val="20"/>
              </w:rPr>
              <w:t>家具稳固，带轮子的</w:t>
            </w:r>
            <w:proofErr w:type="gramStart"/>
            <w:r>
              <w:rPr>
                <w:rFonts w:ascii="Times New Roman" w:hAnsi="Times New Roman"/>
                <w:w w:val="80"/>
                <w:kern w:val="0"/>
                <w:sz w:val="20"/>
                <w:szCs w:val="20"/>
              </w:rPr>
              <w:t>桌椅需可制动</w:t>
            </w:r>
            <w:proofErr w:type="gramEnd"/>
            <w:r>
              <w:rPr>
                <w:rFonts w:ascii="Times New Roman" w:hAnsi="Times New Roman"/>
                <w:w w:val="80"/>
                <w:kern w:val="0"/>
                <w:sz w:val="20"/>
                <w:szCs w:val="20"/>
              </w:rPr>
              <w:t>（</w:t>
            </w:r>
            <w:r>
              <w:rPr>
                <w:rFonts w:ascii="Times New Roman" w:hAnsi="Times New Roman"/>
                <w:w w:val="80"/>
                <w:kern w:val="0"/>
                <w:sz w:val="20"/>
                <w:szCs w:val="20"/>
              </w:rPr>
              <w:t>0.5</w:t>
            </w:r>
            <w:r>
              <w:rPr>
                <w:rFonts w:ascii="Times New Roman" w:hAnsi="Times New Roman"/>
                <w:w w:val="80"/>
                <w:kern w:val="0"/>
                <w:sz w:val="20"/>
                <w:szCs w:val="20"/>
              </w:rPr>
              <w:t>分）；桌边需与地板等环境颜色对比明显（</w:t>
            </w:r>
            <w:r>
              <w:rPr>
                <w:rFonts w:ascii="Times New Roman" w:hAnsi="Times New Roman"/>
                <w:w w:val="80"/>
                <w:kern w:val="0"/>
                <w:sz w:val="20"/>
                <w:szCs w:val="20"/>
              </w:rPr>
              <w:t>0.5</w:t>
            </w:r>
            <w:r>
              <w:rPr>
                <w:rFonts w:ascii="Times New Roman" w:hAnsi="Times New Roman"/>
                <w:w w:val="80"/>
                <w:kern w:val="0"/>
                <w:sz w:val="20"/>
                <w:szCs w:val="20"/>
              </w:rPr>
              <w:t>分），桌子高度可供轮椅伸入（</w:t>
            </w:r>
            <w:r>
              <w:rPr>
                <w:rFonts w:ascii="Times New Roman" w:hAnsi="Times New Roman"/>
                <w:w w:val="80"/>
                <w:kern w:val="0"/>
                <w:sz w:val="20"/>
                <w:szCs w:val="20"/>
              </w:rPr>
              <w:t>0.5</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重点巡查病室内家具配置情况。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60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14.6 </w:t>
            </w:r>
            <w:r>
              <w:rPr>
                <w:rFonts w:ascii="Times New Roman" w:hAnsi="Times New Roman"/>
                <w:w w:val="80"/>
                <w:kern w:val="0"/>
                <w:sz w:val="20"/>
                <w:szCs w:val="20"/>
              </w:rPr>
              <w:t>病床高度可调，有隔档、减压床垫。（</w:t>
            </w:r>
            <w:r>
              <w:rPr>
                <w:rFonts w:ascii="Times New Roman" w:hAnsi="Times New Roman"/>
                <w:w w:val="80"/>
                <w:kern w:val="0"/>
                <w:sz w:val="20"/>
                <w:szCs w:val="20"/>
              </w:rPr>
              <w:t>1</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重点巡查病室内床的配置情况。</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5251D4" w:rsidRDefault="005251D4" w:rsidP="00955ED6">
            <w:pPr>
              <w:rPr>
                <w:rFonts w:ascii="Times New Roman" w:hAnsi="Times New Roman"/>
                <w:sz w:val="20"/>
                <w:szCs w:val="20"/>
              </w:rPr>
            </w:pPr>
          </w:p>
        </w:tc>
      </w:tr>
      <w:tr w:rsidR="005251D4" w:rsidTr="00955ED6">
        <w:trPr>
          <w:trHeight w:val="1140"/>
        </w:trPr>
        <w:tc>
          <w:tcPr>
            <w:tcW w:w="117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rPr>
                <w:rFonts w:ascii="Times New Roman" w:hAnsi="Times New Roman"/>
                <w:sz w:val="20"/>
                <w:szCs w:val="20"/>
              </w:rPr>
            </w:pPr>
          </w:p>
        </w:tc>
        <w:tc>
          <w:tcPr>
            <w:tcW w:w="1710"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jc w:val="center"/>
              <w:rPr>
                <w:rFonts w:ascii="Times New Roman" w:hAnsi="Times New Roman"/>
                <w:sz w:val="20"/>
                <w:szCs w:val="20"/>
              </w:rPr>
            </w:pPr>
          </w:p>
        </w:tc>
        <w:tc>
          <w:tcPr>
            <w:tcW w:w="424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 xml:space="preserve">14.7  </w:t>
            </w:r>
            <w:r>
              <w:rPr>
                <w:rFonts w:ascii="Times New Roman" w:hAnsi="Times New Roman"/>
                <w:w w:val="80"/>
                <w:kern w:val="0"/>
                <w:sz w:val="20"/>
                <w:szCs w:val="20"/>
              </w:rPr>
              <w:t>桌椅应为圆边或在家具尖角、墙角处安装防撞护角、防撞条；应防滑、易清洁，图案适宜；座椅应有扶手，椅背向后倾斜，座椅高</w:t>
            </w:r>
            <w:r>
              <w:rPr>
                <w:rFonts w:ascii="Times New Roman" w:hAnsi="Times New Roman"/>
                <w:w w:val="80"/>
                <w:kern w:val="0"/>
                <w:sz w:val="20"/>
                <w:szCs w:val="20"/>
              </w:rPr>
              <w:t>460-485mm</w:t>
            </w:r>
            <w:r>
              <w:rPr>
                <w:rFonts w:ascii="Times New Roman" w:hAnsi="Times New Roman"/>
                <w:w w:val="80"/>
                <w:kern w:val="0"/>
                <w:sz w:val="20"/>
                <w:szCs w:val="20"/>
              </w:rPr>
              <w:t>，深</w:t>
            </w:r>
            <w:r>
              <w:rPr>
                <w:rFonts w:ascii="Times New Roman" w:hAnsi="Times New Roman"/>
                <w:w w:val="80"/>
                <w:kern w:val="0"/>
                <w:sz w:val="20"/>
                <w:szCs w:val="20"/>
              </w:rPr>
              <w:t>457-508mm</w:t>
            </w:r>
            <w:r>
              <w:rPr>
                <w:rFonts w:ascii="Times New Roman" w:hAnsi="Times New Roman"/>
                <w:w w:val="80"/>
                <w:kern w:val="0"/>
                <w:sz w:val="20"/>
                <w:szCs w:val="20"/>
              </w:rPr>
              <w:t>。（</w:t>
            </w:r>
            <w:r>
              <w:rPr>
                <w:rFonts w:ascii="Times New Roman" w:hAnsi="Times New Roman"/>
                <w:w w:val="80"/>
                <w:kern w:val="0"/>
                <w:sz w:val="20"/>
                <w:szCs w:val="20"/>
              </w:rPr>
              <w:t>2.5</w:t>
            </w:r>
            <w:r>
              <w:rPr>
                <w:rFonts w:ascii="Times New Roman" w:hAnsi="Times New Roman"/>
                <w:w w:val="80"/>
                <w:kern w:val="0"/>
                <w:sz w:val="20"/>
                <w:szCs w:val="20"/>
              </w:rPr>
              <w:t>分）</w:t>
            </w:r>
          </w:p>
        </w:tc>
        <w:tc>
          <w:tcPr>
            <w:tcW w:w="50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5251D4" w:rsidRDefault="005251D4" w:rsidP="00955ED6">
            <w:pPr>
              <w:widowControl/>
              <w:textAlignment w:val="center"/>
              <w:rPr>
                <w:rFonts w:ascii="Times New Roman" w:hAnsi="Times New Roman"/>
                <w:w w:val="80"/>
                <w:sz w:val="20"/>
                <w:szCs w:val="20"/>
              </w:rPr>
            </w:pPr>
            <w:r>
              <w:rPr>
                <w:rFonts w:ascii="Times New Roman" w:hAnsi="Times New Roman"/>
                <w:w w:val="80"/>
                <w:kern w:val="0"/>
                <w:sz w:val="20"/>
                <w:szCs w:val="20"/>
              </w:rPr>
              <w:t>重点巡查病室内座椅是否适合老年人使用和安全。</w:t>
            </w: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251D4" w:rsidRDefault="005251D4" w:rsidP="00955ED6">
            <w:pPr>
              <w:rPr>
                <w:rFonts w:ascii="Times New Roman" w:hAnsi="Times New Roman"/>
                <w:sz w:val="20"/>
                <w:szCs w:val="20"/>
              </w:rPr>
            </w:pPr>
          </w:p>
        </w:tc>
      </w:tr>
    </w:tbl>
    <w:p w:rsidR="005251D4" w:rsidRDefault="005251D4" w:rsidP="005251D4">
      <w:pPr>
        <w:adjustRightInd w:val="0"/>
        <w:snapToGrid w:val="0"/>
        <w:spacing w:line="600" w:lineRule="exact"/>
        <w:jc w:val="left"/>
        <w:rPr>
          <w:rFonts w:ascii="Times New Roman" w:eastAsia="黑体" w:hAnsi="Times New Roman"/>
          <w:w w:val="95"/>
          <w:sz w:val="32"/>
          <w:szCs w:val="32"/>
        </w:rPr>
        <w:sectPr w:rsidR="005251D4">
          <w:footerReference w:type="default" r:id="rId7"/>
          <w:pgSz w:w="16838" w:h="11906" w:orient="landscape"/>
          <w:pgMar w:top="1474" w:right="1928" w:bottom="1417" w:left="1757" w:header="851" w:footer="992" w:gutter="0"/>
          <w:cols w:space="720"/>
          <w:docGrid w:type="lines" w:linePitch="312"/>
        </w:sectPr>
      </w:pPr>
    </w:p>
    <w:p w:rsidR="00E83767" w:rsidRPr="005251D4" w:rsidRDefault="00E83767"/>
    <w:sectPr w:rsidR="00E83767" w:rsidRPr="00525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DA" w:rsidRDefault="009132DA" w:rsidP="005251D4">
      <w:r>
        <w:separator/>
      </w:r>
    </w:p>
  </w:endnote>
  <w:endnote w:type="continuationSeparator" w:id="0">
    <w:p w:rsidR="009132DA" w:rsidRDefault="009132DA" w:rsidP="0052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D4" w:rsidRDefault="005251D4">
    <w:pPr>
      <w:spacing w:line="1" w:lineRule="exact"/>
    </w:pPr>
    <w:r>
      <w:rPr>
        <w:noProof/>
      </w:rPr>
      <mc:AlternateContent>
        <mc:Choice Requires="wps">
          <w:drawing>
            <wp:anchor distT="0" distB="0" distL="114300" distR="114300" simplePos="0" relativeHeight="251659264" behindDoc="1" locked="0" layoutInCell="1" allowOverlap="1">
              <wp:simplePos x="0" y="0"/>
              <wp:positionH relativeFrom="page">
                <wp:posOffset>3405505</wp:posOffset>
              </wp:positionH>
              <wp:positionV relativeFrom="page">
                <wp:posOffset>9712960</wp:posOffset>
              </wp:positionV>
              <wp:extent cx="485140" cy="189230"/>
              <wp:effectExtent l="0" t="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1D4" w:rsidRDefault="005251D4">
                          <w:pPr>
                            <w:pStyle w:val="Headerorfooter2"/>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8.15pt;margin-top:764.8pt;width:38.2pt;height:1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" filled="f" stroked="f">
              <v:textbox inset="0,0,0,0">
                <w:txbxContent>
                  <w:p w:rsidR="005251D4" w:rsidRDefault="005251D4">
                    <w:pPr>
                      <w:pStyle w:val="Headerorfooter2"/>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DA" w:rsidRDefault="009132DA" w:rsidP="005251D4">
      <w:r>
        <w:separator/>
      </w:r>
    </w:p>
  </w:footnote>
  <w:footnote w:type="continuationSeparator" w:id="0">
    <w:p w:rsidR="009132DA" w:rsidRDefault="009132DA" w:rsidP="00525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09"/>
    <w:rsid w:val="00193120"/>
    <w:rsid w:val="002D2509"/>
    <w:rsid w:val="005251D4"/>
    <w:rsid w:val="009132DA"/>
    <w:rsid w:val="00E8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251D4"/>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5251D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1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51D4"/>
    <w:rPr>
      <w:sz w:val="18"/>
      <w:szCs w:val="18"/>
    </w:rPr>
  </w:style>
  <w:style w:type="paragraph" w:styleId="a4">
    <w:name w:val="footer"/>
    <w:basedOn w:val="a"/>
    <w:link w:val="Char0"/>
    <w:uiPriority w:val="99"/>
    <w:unhideWhenUsed/>
    <w:rsid w:val="00525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51D4"/>
    <w:rPr>
      <w:sz w:val="18"/>
      <w:szCs w:val="18"/>
    </w:rPr>
  </w:style>
  <w:style w:type="character" w:customStyle="1" w:styleId="font21">
    <w:name w:val="font21"/>
    <w:qFormat/>
    <w:rsid w:val="005251D4"/>
    <w:rPr>
      <w:rFonts w:ascii="宋体" w:eastAsia="宋体" w:hAnsi="宋体" w:cs="宋体" w:hint="eastAsia"/>
      <w:color w:val="000000"/>
      <w:sz w:val="20"/>
      <w:szCs w:val="20"/>
      <w:u w:val="none"/>
    </w:rPr>
  </w:style>
  <w:style w:type="character" w:customStyle="1" w:styleId="font101">
    <w:name w:val="font101"/>
    <w:qFormat/>
    <w:rsid w:val="005251D4"/>
    <w:rPr>
      <w:rFonts w:ascii="宋体" w:eastAsia="宋体" w:hAnsi="宋体" w:cs="宋体" w:hint="eastAsia"/>
      <w:color w:val="333399"/>
      <w:sz w:val="20"/>
      <w:szCs w:val="20"/>
      <w:u w:val="none"/>
    </w:rPr>
  </w:style>
  <w:style w:type="character" w:customStyle="1" w:styleId="font01">
    <w:name w:val="font01"/>
    <w:qFormat/>
    <w:rsid w:val="005251D4"/>
    <w:rPr>
      <w:rFonts w:ascii="宋体" w:eastAsia="宋体" w:hAnsi="宋体" w:cs="宋体" w:hint="eastAsia"/>
      <w:b/>
      <w:color w:val="000000"/>
      <w:sz w:val="20"/>
      <w:szCs w:val="20"/>
      <w:u w:val="none"/>
    </w:rPr>
  </w:style>
  <w:style w:type="character" w:customStyle="1" w:styleId="font71">
    <w:name w:val="font71"/>
    <w:qFormat/>
    <w:rsid w:val="005251D4"/>
    <w:rPr>
      <w:rFonts w:ascii="宋体" w:eastAsia="宋体" w:hAnsi="宋体" w:cs="宋体" w:hint="eastAsia"/>
      <w:color w:val="00FF00"/>
      <w:sz w:val="20"/>
      <w:szCs w:val="20"/>
      <w:u w:val="none"/>
    </w:rPr>
  </w:style>
  <w:style w:type="paragraph" w:customStyle="1" w:styleId="Headerorfooter2">
    <w:name w:val="Header or footer|2"/>
    <w:basedOn w:val="a"/>
    <w:qFormat/>
    <w:rsid w:val="005251D4"/>
    <w:rPr>
      <w:sz w:val="20"/>
      <w:szCs w:val="20"/>
      <w:lang w:val="zh-TW" w:eastAsia="zh-TW" w:bidi="zh-TW"/>
    </w:rPr>
  </w:style>
  <w:style w:type="character" w:customStyle="1" w:styleId="3Char">
    <w:name w:val="标题 3 Char"/>
    <w:basedOn w:val="a0"/>
    <w:link w:val="3"/>
    <w:uiPriority w:val="9"/>
    <w:semiHidden/>
    <w:rsid w:val="005251D4"/>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5251D4"/>
    <w:pPr>
      <w:widowControl w:val="0"/>
      <w:jc w:val="both"/>
    </w:pPr>
    <w:rPr>
      <w:rFonts w:ascii="Calibri" w:eastAsia="宋体" w:hAnsi="Calibri" w:cs="Times New Roman"/>
      <w:szCs w:val="24"/>
    </w:rPr>
  </w:style>
  <w:style w:type="paragraph" w:styleId="3">
    <w:name w:val="heading 3"/>
    <w:basedOn w:val="a"/>
    <w:next w:val="a"/>
    <w:link w:val="3Char"/>
    <w:uiPriority w:val="9"/>
    <w:semiHidden/>
    <w:unhideWhenUsed/>
    <w:qFormat/>
    <w:rsid w:val="005251D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1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51D4"/>
    <w:rPr>
      <w:sz w:val="18"/>
      <w:szCs w:val="18"/>
    </w:rPr>
  </w:style>
  <w:style w:type="paragraph" w:styleId="a4">
    <w:name w:val="footer"/>
    <w:basedOn w:val="a"/>
    <w:link w:val="Char0"/>
    <w:uiPriority w:val="99"/>
    <w:unhideWhenUsed/>
    <w:rsid w:val="00525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51D4"/>
    <w:rPr>
      <w:sz w:val="18"/>
      <w:szCs w:val="18"/>
    </w:rPr>
  </w:style>
  <w:style w:type="character" w:customStyle="1" w:styleId="font21">
    <w:name w:val="font21"/>
    <w:qFormat/>
    <w:rsid w:val="005251D4"/>
    <w:rPr>
      <w:rFonts w:ascii="宋体" w:eastAsia="宋体" w:hAnsi="宋体" w:cs="宋体" w:hint="eastAsia"/>
      <w:color w:val="000000"/>
      <w:sz w:val="20"/>
      <w:szCs w:val="20"/>
      <w:u w:val="none"/>
    </w:rPr>
  </w:style>
  <w:style w:type="character" w:customStyle="1" w:styleId="font101">
    <w:name w:val="font101"/>
    <w:qFormat/>
    <w:rsid w:val="005251D4"/>
    <w:rPr>
      <w:rFonts w:ascii="宋体" w:eastAsia="宋体" w:hAnsi="宋体" w:cs="宋体" w:hint="eastAsia"/>
      <w:color w:val="333399"/>
      <w:sz w:val="20"/>
      <w:szCs w:val="20"/>
      <w:u w:val="none"/>
    </w:rPr>
  </w:style>
  <w:style w:type="character" w:customStyle="1" w:styleId="font01">
    <w:name w:val="font01"/>
    <w:qFormat/>
    <w:rsid w:val="005251D4"/>
    <w:rPr>
      <w:rFonts w:ascii="宋体" w:eastAsia="宋体" w:hAnsi="宋体" w:cs="宋体" w:hint="eastAsia"/>
      <w:b/>
      <w:color w:val="000000"/>
      <w:sz w:val="20"/>
      <w:szCs w:val="20"/>
      <w:u w:val="none"/>
    </w:rPr>
  </w:style>
  <w:style w:type="character" w:customStyle="1" w:styleId="font71">
    <w:name w:val="font71"/>
    <w:qFormat/>
    <w:rsid w:val="005251D4"/>
    <w:rPr>
      <w:rFonts w:ascii="宋体" w:eastAsia="宋体" w:hAnsi="宋体" w:cs="宋体" w:hint="eastAsia"/>
      <w:color w:val="00FF00"/>
      <w:sz w:val="20"/>
      <w:szCs w:val="20"/>
      <w:u w:val="none"/>
    </w:rPr>
  </w:style>
  <w:style w:type="paragraph" w:customStyle="1" w:styleId="Headerorfooter2">
    <w:name w:val="Header or footer|2"/>
    <w:basedOn w:val="a"/>
    <w:qFormat/>
    <w:rsid w:val="005251D4"/>
    <w:rPr>
      <w:sz w:val="20"/>
      <w:szCs w:val="20"/>
      <w:lang w:val="zh-TW" w:eastAsia="zh-TW" w:bidi="zh-TW"/>
    </w:rPr>
  </w:style>
  <w:style w:type="character" w:customStyle="1" w:styleId="3Char">
    <w:name w:val="标题 3 Char"/>
    <w:basedOn w:val="a0"/>
    <w:link w:val="3"/>
    <w:uiPriority w:val="9"/>
    <w:semiHidden/>
    <w:rsid w:val="005251D4"/>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2935</Characters>
  <Application>Microsoft Office Word</Application>
  <DocSecurity>0</DocSecurity>
  <Lines>266</Lines>
  <Paragraphs>172</Paragraphs>
  <ScaleCrop>false</ScaleCrop>
  <Company>Microsoft</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wjw</dc:creator>
  <cp:keywords/>
  <dc:description/>
  <cp:lastModifiedBy>wjw</cp:lastModifiedBy>
  <cp:revision>3</cp:revision>
  <dcterms:created xsi:type="dcterms:W3CDTF">2025-02-28T04:43:00Z</dcterms:created>
  <dcterms:modified xsi:type="dcterms:W3CDTF">2025-02-28T04:45:00Z</dcterms:modified>
</cp:coreProperties>
</file>