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DD11A">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i w:val="0"/>
          <w:iCs w:val="0"/>
          <w:caps w:val="0"/>
          <w:color w:val="auto"/>
          <w:spacing w:val="0"/>
          <w:kern w:val="0"/>
          <w:sz w:val="32"/>
          <w:szCs w:val="32"/>
          <w:shd w:val="clear" w:fill="FFFFFF"/>
          <w:vertAlign w:val="baseline"/>
          <w:lang w:val="en-US" w:eastAsia="zh-CN" w:bidi="ar"/>
        </w:rPr>
      </w:pPr>
      <w:bookmarkStart w:id="3" w:name="_GoBack"/>
      <w:bookmarkEnd w:id="3"/>
      <w:r>
        <w:rPr>
          <w:rFonts w:hint="eastAsia" w:ascii="黑体" w:hAnsi="黑体" w:eastAsia="黑体" w:cs="黑体"/>
          <w:i w:val="0"/>
          <w:iCs w:val="0"/>
          <w:caps w:val="0"/>
          <w:color w:val="auto"/>
          <w:spacing w:val="0"/>
          <w:kern w:val="0"/>
          <w:sz w:val="32"/>
          <w:szCs w:val="32"/>
          <w:shd w:val="clear" w:fill="FFFFFF"/>
          <w:vertAlign w:val="baseline"/>
          <w:lang w:val="en-US" w:eastAsia="zh-CN" w:bidi="ar"/>
        </w:rPr>
        <w:t>附件</w:t>
      </w:r>
    </w:p>
    <w:p w14:paraId="2D833F99">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44"/>
          <w:szCs w:val="44"/>
        </w:rPr>
      </w:pPr>
    </w:p>
    <w:p w14:paraId="1115FB7A">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吉林省关于完善长期护理保险制度</w:t>
      </w:r>
    </w:p>
    <w:p w14:paraId="69B14F6A">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的实施方案</w:t>
      </w:r>
    </w:p>
    <w:p w14:paraId="52407F61">
      <w:pPr>
        <w:keepNext w:val="0"/>
        <w:keepLines w:val="0"/>
        <w:pageBreakBefore w:val="0"/>
        <w:kinsoku/>
        <w:wordWrap/>
        <w:overflowPunct/>
        <w:topLinePunct w:val="0"/>
        <w:autoSpaceDE/>
        <w:autoSpaceDN/>
        <w:bidi w:val="0"/>
        <w:adjustRightInd/>
        <w:snapToGrid/>
        <w:spacing w:line="560" w:lineRule="exact"/>
        <w:jc w:val="center"/>
        <w:rPr>
          <w:rFonts w:ascii="楷体_GB2312" w:eastAsia="楷体_GB2312"/>
          <w:color w:val="auto"/>
          <w:sz w:val="32"/>
          <w:szCs w:val="32"/>
        </w:rPr>
      </w:pPr>
      <w:r>
        <w:rPr>
          <w:rFonts w:hint="eastAsia" w:ascii="楷体_GB2312" w:eastAsia="楷体_GB2312"/>
          <w:color w:val="auto"/>
          <w:sz w:val="32"/>
          <w:szCs w:val="32"/>
        </w:rPr>
        <w:t>（征求意见稿）</w:t>
      </w:r>
    </w:p>
    <w:p w14:paraId="0F639F55">
      <w:pPr>
        <w:keepNext w:val="0"/>
        <w:keepLines w:val="0"/>
        <w:pageBreakBefore w:val="0"/>
        <w:kinsoku/>
        <w:wordWrap/>
        <w:overflowPunct/>
        <w:topLinePunct w:val="0"/>
        <w:autoSpaceDE/>
        <w:autoSpaceDN/>
        <w:bidi w:val="0"/>
        <w:adjustRightInd/>
        <w:snapToGrid/>
        <w:spacing w:line="560" w:lineRule="exact"/>
        <w:rPr>
          <w:rFonts w:ascii="仿宋_GB2312" w:eastAsia="仿宋_GB2312"/>
          <w:color w:val="auto"/>
          <w:sz w:val="32"/>
          <w:szCs w:val="32"/>
        </w:rPr>
      </w:pPr>
    </w:p>
    <w:p w14:paraId="7BE4335A">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为加快推动长期护理保险制度落地实施，制定实施方案如下。</w:t>
      </w:r>
    </w:p>
    <w:p w14:paraId="7C92FBBA">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一、目标任务</w:t>
      </w:r>
    </w:p>
    <w:p w14:paraId="2DD00E7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覆盖全民、统筹城乡、公平统一、安全规范、可持续”的总要求，加快建立为失能人员的基本生活照料和与之密切相关的医疗护理提供服务或资金保障的长期护理保险制度。坚持保障基本，以收定支，收支平衡；坚持责任共担，合理划分筹资责任和保障责任；坚持机制创新，提升保障效能和管理水平；坚持统筹协调，做好各类保障制度的功能衔接，协同推进健康产业和服务体系发展。</w:t>
      </w:r>
    </w:p>
    <w:p w14:paraId="21C81432">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到2026年，制度力争覆盖全省所有统筹区。已建制统筹区用3年左右时间，采取“增量改革”“老人老办法”等方式妥善调整政策。新建制统筹区可采取先职工后居民的方式到2027年逐步覆盖全民。到2028年，筹资稳健可持续、待遇公平适度、管理科学规范、运行平稳高效，制度保障能力不断提升，稳经济、促发展、保就业的外部效应逐步显现。</w:t>
      </w:r>
    </w:p>
    <w:p w14:paraId="13BB8CA5">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二、政策制度</w:t>
      </w:r>
    </w:p>
    <w:p w14:paraId="1D0F5E8D">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（一）制度安排。</w:t>
      </w:r>
      <w:r>
        <w:rPr>
          <w:rFonts w:hint="eastAsia" w:ascii="仿宋_GB2312" w:eastAsia="仿宋_GB2312"/>
          <w:color w:val="auto"/>
          <w:sz w:val="32"/>
          <w:szCs w:val="32"/>
        </w:rPr>
        <w:t>用人单位（包括企业、事业单位、机关、社会组织）及其单位职工、退休人员、灵活就业人员（含农民工、新就业形态人员，下同）和未就业城乡居民等按照属地原则，参加长期护理保险。基金统一建账，资金统筹使用。实行制度政策统一、基金统收统支、管理服务一体的市级统筹。适时按照政策统一规范、基金调剂平衡、完善分级管理、强化预算考核、优化管理服务的要求实施省级统筹。</w:t>
      </w:r>
    </w:p>
    <w:p w14:paraId="71AAFB12">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（二）参保模式。</w:t>
      </w:r>
      <w:r>
        <w:rPr>
          <w:rFonts w:hint="eastAsia" w:ascii="仿宋_GB2312" w:eastAsia="仿宋_GB2312"/>
          <w:color w:val="auto"/>
          <w:sz w:val="32"/>
          <w:szCs w:val="32"/>
        </w:rPr>
        <w:t>按统筹区工作进程，参加我省基本医疗保险的人员，应同步参加长期护理保险。长期护理保险连续参保认定、转移接续等参保管理规则参照基本医保执行。</w:t>
      </w:r>
    </w:p>
    <w:p w14:paraId="476ED60D">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（三）筹资政策。</w:t>
      </w:r>
      <w:r>
        <w:rPr>
          <w:rFonts w:hint="eastAsia" w:ascii="仿宋_GB2312" w:eastAsia="仿宋_GB2312"/>
          <w:color w:val="auto"/>
          <w:sz w:val="32"/>
          <w:szCs w:val="32"/>
        </w:rPr>
        <w:t>建立用人单位缴纳、个人缴纳和财政补助、社会资金资助等多渠道筹资机制。</w:t>
      </w:r>
    </w:p>
    <w:p w14:paraId="02169BF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1.单位职工由用人单位和个人共同缴费，费率按同比例分担；退休人员费率与单位职工个人费率相同，由个人缴费，原用人单位不缴费。未就业城乡居民由个人缴费和政府补助相结合，二者比例为1:1</w:t>
      </w:r>
      <w:r>
        <w:rPr>
          <w:rFonts w:hint="eastAsia" w:ascii="仿宋_GB2312" w:eastAsia="仿宋_GB2312"/>
          <w:color w:val="auto"/>
          <w:sz w:val="32"/>
          <w:szCs w:val="32"/>
          <w:lang w:eastAsia="zh-CN"/>
        </w:rPr>
        <w:t>左右</w:t>
      </w:r>
      <w:r>
        <w:rPr>
          <w:rFonts w:hint="eastAsia" w:ascii="仿宋_GB2312" w:eastAsia="仿宋_GB2312"/>
          <w:color w:val="auto"/>
          <w:sz w:val="32"/>
          <w:szCs w:val="32"/>
        </w:rPr>
        <w:t>，政府补助由中央财政和地方财政共同承担</w:t>
      </w:r>
      <w:r>
        <w:rPr>
          <w:rFonts w:hint="eastAsia" w:ascii="仿宋_GB2312" w:eastAsia="仿宋_GB2312"/>
          <w:color w:val="auto"/>
          <w:sz w:val="32"/>
          <w:szCs w:val="32"/>
          <w:lang w:eastAsia="zh-CN"/>
        </w:rPr>
        <w:t>（财政具体补助办法另行制定）</w:t>
      </w:r>
      <w:r>
        <w:rPr>
          <w:rFonts w:hint="eastAsia" w:ascii="仿宋_GB2312" w:eastAsia="仿宋_GB2312"/>
          <w:color w:val="auto"/>
          <w:sz w:val="32"/>
          <w:szCs w:val="32"/>
        </w:rPr>
        <w:t>。灵活就业人员在与基本医保一致的前提下可按单位职工政策参保缴费，也可选择按未就业城乡居民政策参保缴费。18周岁以下已参加城乡居民医保人员跟随父母或法定抚养人等参保，不单独筹资，其中孤儿、事实无人抚养儿童中无法跟从参保的，可视同参保。</w:t>
      </w:r>
    </w:p>
    <w:p w14:paraId="386969FB">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2.按单位职工政策参保的缴费基数与基本医保一致。退休人员缴费基数为本人基本养老金。未就业城乡居民缴费基数为全省上年度城乡居民人均可支配收入。</w:t>
      </w:r>
    </w:p>
    <w:p w14:paraId="3F139E9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3.统筹区建制当年，</w:t>
      </w:r>
      <w:r>
        <w:rPr>
          <w:rFonts w:hint="eastAsia" w:ascii="仿宋_GB2312" w:eastAsia="仿宋_GB2312"/>
          <w:color w:val="auto"/>
          <w:sz w:val="32"/>
          <w:szCs w:val="32"/>
          <w:lang w:val="en-US" w:eastAsia="zh-CN"/>
        </w:rPr>
        <w:t>新建制统筹区</w:t>
      </w:r>
      <w:r>
        <w:rPr>
          <w:rFonts w:hint="eastAsia" w:ascii="仿宋_GB2312" w:eastAsia="仿宋_GB2312"/>
          <w:color w:val="auto"/>
          <w:sz w:val="32"/>
          <w:szCs w:val="32"/>
        </w:rPr>
        <w:t>单位职工费率按0.25%设定，</w:t>
      </w:r>
      <w:r>
        <w:rPr>
          <w:rFonts w:hint="eastAsia" w:ascii="仿宋_GB2312" w:eastAsia="仿宋_GB2312"/>
          <w:color w:val="auto"/>
          <w:sz w:val="32"/>
          <w:szCs w:val="32"/>
          <w:lang w:val="en-US" w:eastAsia="zh-CN"/>
        </w:rPr>
        <w:t>已建制统筹区3年内过渡到此标准</w:t>
      </w:r>
      <w:r>
        <w:rPr>
          <w:rFonts w:hint="eastAsia" w:ascii="仿宋_GB2312" w:eastAsia="仿宋_GB2312"/>
          <w:color w:val="auto"/>
          <w:sz w:val="32"/>
          <w:szCs w:val="32"/>
        </w:rPr>
        <w:t>；未就业城乡居民执行全省统一的缴费标准，</w:t>
      </w:r>
      <w:r>
        <w:rPr>
          <w:rFonts w:hint="eastAsia" w:ascii="仿宋_GB2312" w:eastAsia="仿宋_GB2312"/>
          <w:color w:val="auto"/>
          <w:sz w:val="32"/>
          <w:szCs w:val="32"/>
          <w:lang w:val="en-US" w:eastAsia="zh-CN"/>
        </w:rPr>
        <w:t>到2028年费</w:t>
      </w:r>
      <w:r>
        <w:rPr>
          <w:rFonts w:hint="eastAsia" w:ascii="仿宋_GB2312" w:eastAsia="仿宋_GB2312"/>
          <w:color w:val="auto"/>
          <w:sz w:val="32"/>
          <w:szCs w:val="32"/>
        </w:rPr>
        <w:t>率达到0.125%。费率用5年左右时间逐步过渡到0.3%左右。</w:t>
      </w:r>
    </w:p>
    <w:p w14:paraId="6EB7367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4.保费由税务部门在征缴医保费时同步征收。其中，个人缴费部分可由医保部门从其医保个人账户中划转。退休人员可由发放基本养老金的社会保险经办机构代扣代缴。</w:t>
      </w:r>
    </w:p>
    <w:p w14:paraId="05B1042B">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5.政府</w:t>
      </w:r>
      <w:bookmarkStart w:id="0" w:name="_Hlk206250712"/>
      <w:r>
        <w:rPr>
          <w:rFonts w:hint="eastAsia" w:ascii="仿宋_GB2312" w:eastAsia="仿宋_GB2312"/>
          <w:color w:val="auto"/>
          <w:sz w:val="32"/>
          <w:szCs w:val="32"/>
        </w:rPr>
        <w:t>对符合条件的困难人群个人缴费部分通过医疗救助基金予以分类资助。应筹资对象中全额资助与定额资助人员范围与基本医保一致。定额资助标准由省医保局会同省财政厅另行制定。</w:t>
      </w:r>
      <w:bookmarkEnd w:id="0"/>
    </w:p>
    <w:p w14:paraId="72F99B31">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红十字会对造血干细胞捐献者中的未就业城乡居民每人每年资助</w:t>
      </w:r>
      <w:r>
        <w:rPr>
          <w:rFonts w:hint="default" w:ascii="Arial" w:hAnsi="Arial" w:eastAsia="仿宋_GB2312" w:cs="Arial"/>
          <w:color w:val="auto"/>
          <w:sz w:val="32"/>
          <w:szCs w:val="32"/>
        </w:rPr>
        <w:t>××</w:t>
      </w:r>
      <w:r>
        <w:rPr>
          <w:rFonts w:hint="eastAsia" w:ascii="仿宋_GB2312" w:eastAsia="仿宋_GB2312"/>
          <w:color w:val="auto"/>
          <w:sz w:val="32"/>
          <w:szCs w:val="32"/>
        </w:rPr>
        <w:t>元。鼓励用人单位对参保缴费予以适当资助。各地可探索通过慈善帮扶、公益捐赠、村集体经济收入或</w:t>
      </w:r>
      <w:r>
        <w:rPr>
          <w:rFonts w:hint="eastAsia" w:ascii="仿宋_GB2312" w:eastAsia="仿宋_GB2312"/>
          <w:color w:val="auto"/>
          <w:sz w:val="32"/>
          <w:szCs w:val="32"/>
          <w:lang w:eastAsia="zh-CN"/>
        </w:rPr>
        <w:t>帮扶</w:t>
      </w:r>
      <w:r>
        <w:rPr>
          <w:rFonts w:hint="eastAsia" w:ascii="仿宋_GB2312" w:eastAsia="仿宋_GB2312"/>
          <w:color w:val="auto"/>
          <w:sz w:val="32"/>
          <w:szCs w:val="32"/>
        </w:rPr>
        <w:t>项目资产收益等帮助参保缴费。</w:t>
      </w:r>
    </w:p>
    <w:p w14:paraId="6CC3A22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统筹区建制当年，在确保调整职工基本医疗保险单位费率后职工基本医疗保险统筹基金累计结余可支付月数不少于12个月且不出现当期赤字的基础上，降低职工基本医保单位费率，用作长期护理保险单位费率，降幅不超过长期护理保险单位费率标准。</w:t>
      </w:r>
    </w:p>
    <w:p w14:paraId="66BBCFA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已试点地区</w:t>
      </w:r>
      <w:r>
        <w:rPr>
          <w:rFonts w:hint="eastAsia" w:ascii="仿宋_GB2312" w:eastAsia="仿宋_GB2312"/>
          <w:color w:val="auto"/>
          <w:sz w:val="32"/>
          <w:szCs w:val="32"/>
          <w:lang w:eastAsia="zh-CN"/>
        </w:rPr>
        <w:t>新政策实施前，</w:t>
      </w:r>
      <w:r>
        <w:rPr>
          <w:rFonts w:hint="eastAsia" w:ascii="仿宋_GB2312" w:eastAsia="仿宋_GB2312"/>
          <w:color w:val="auto"/>
          <w:sz w:val="32"/>
          <w:szCs w:val="32"/>
          <w:lang w:val="en-US" w:eastAsia="zh-CN"/>
        </w:rPr>
        <w:t>应</w:t>
      </w:r>
      <w:r>
        <w:rPr>
          <w:rFonts w:hint="eastAsia" w:ascii="仿宋_GB2312" w:eastAsia="仿宋_GB2312"/>
          <w:color w:val="auto"/>
          <w:sz w:val="32"/>
          <w:szCs w:val="32"/>
        </w:rPr>
        <w:t>制定本地基金清理方案</w:t>
      </w:r>
      <w:r>
        <w:rPr>
          <w:rFonts w:hint="eastAsia" w:ascii="仿宋_GB2312" w:eastAsia="仿宋_GB2312"/>
          <w:color w:val="auto"/>
          <w:sz w:val="32"/>
          <w:szCs w:val="32"/>
          <w:lang w:eastAsia="zh-CN"/>
        </w:rPr>
        <w:t>，确保无遗留债权债务问题，经</w:t>
      </w:r>
      <w:r>
        <w:rPr>
          <w:rFonts w:hint="eastAsia" w:ascii="仿宋_GB2312" w:eastAsia="仿宋_GB2312"/>
          <w:color w:val="auto"/>
          <w:sz w:val="32"/>
          <w:szCs w:val="32"/>
        </w:rPr>
        <w:t>当地政府批准实施</w:t>
      </w:r>
      <w:r>
        <w:rPr>
          <w:rFonts w:hint="eastAsia" w:ascii="仿宋_GB2312" w:eastAsia="仿宋_GB2312"/>
          <w:color w:val="auto"/>
          <w:sz w:val="32"/>
          <w:szCs w:val="32"/>
          <w:lang w:eastAsia="zh-CN"/>
        </w:rPr>
        <w:t>后，方可划转基金。基金划转后，若</w:t>
      </w:r>
      <w:r>
        <w:rPr>
          <w:rFonts w:hint="eastAsia" w:ascii="仿宋_GB2312" w:eastAsia="仿宋_GB2312"/>
          <w:color w:val="auto"/>
          <w:sz w:val="32"/>
          <w:szCs w:val="32"/>
        </w:rPr>
        <w:t>长期护理保险基金累计结余可支付月数超过</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个月，统筹区可在充分论证的基础上，一次性将部分自基本医保划出的资金归还相应医保统筹账户，</w:t>
      </w:r>
      <w:r>
        <w:rPr>
          <w:rFonts w:hint="eastAsia" w:ascii="仿宋_GB2312" w:eastAsia="仿宋_GB2312"/>
          <w:color w:val="auto"/>
          <w:sz w:val="32"/>
          <w:szCs w:val="32"/>
          <w:lang w:eastAsia="zh-CN"/>
        </w:rPr>
        <w:t>同时，要确保划转后基金可支付月数不低于</w:t>
      </w:r>
      <w:r>
        <w:rPr>
          <w:rFonts w:hint="eastAsia" w:ascii="仿宋_GB2312" w:eastAsia="仿宋_GB2312"/>
          <w:color w:val="auto"/>
          <w:sz w:val="32"/>
          <w:szCs w:val="32"/>
          <w:lang w:val="en-US" w:eastAsia="zh-CN"/>
        </w:rPr>
        <w:t>6个月，</w:t>
      </w:r>
      <w:r>
        <w:rPr>
          <w:rFonts w:hint="eastAsia" w:ascii="仿宋_GB2312" w:eastAsia="仿宋_GB2312"/>
          <w:color w:val="auto"/>
          <w:sz w:val="32"/>
          <w:szCs w:val="32"/>
        </w:rPr>
        <w:t>具体额度</w:t>
      </w:r>
      <w:r>
        <w:rPr>
          <w:rFonts w:hint="eastAsia" w:ascii="仿宋_GB2312" w:eastAsia="仿宋_GB2312"/>
          <w:color w:val="auto"/>
          <w:sz w:val="32"/>
          <w:szCs w:val="32"/>
          <w:lang w:eastAsia="zh-CN"/>
        </w:rPr>
        <w:t>需</w:t>
      </w:r>
      <w:r>
        <w:rPr>
          <w:rFonts w:hint="eastAsia" w:ascii="仿宋_GB2312" w:eastAsia="仿宋_GB2312"/>
          <w:color w:val="auto"/>
          <w:sz w:val="32"/>
          <w:szCs w:val="32"/>
        </w:rPr>
        <w:t>在实施方案中明确。</w:t>
      </w:r>
    </w:p>
    <w:p w14:paraId="4CA24695">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（四）待遇政策。</w:t>
      </w:r>
      <w:r>
        <w:rPr>
          <w:rFonts w:hint="eastAsia" w:ascii="仿宋_GB2312" w:eastAsia="仿宋_GB2312"/>
          <w:color w:val="auto"/>
          <w:sz w:val="32"/>
          <w:szCs w:val="32"/>
        </w:rPr>
        <w:t>结合基金运行情况、参保人基本保障需求、服务供给等因素，设定公平适度的保障。</w:t>
      </w:r>
    </w:p>
    <w:p w14:paraId="087A9D18">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保障对象为因年老、疾病、伤残等原因，导致生活不能自理，长期持续（一般6个月以上）处于失能状态的参保人员。经申请通过评估认定的失能人员，可按规定享受待遇。起步阶段重点保障重度失能参保人员，按照国家统一要求逐步扩大保障对象范围。</w:t>
      </w:r>
    </w:p>
    <w:p w14:paraId="62E968D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2.待遇享受不设起付线。在机构享受的符合规定的长期护理服务费用，按未就业城乡居民参保政策参保的（含18周岁以下</w:t>
      </w:r>
      <w:r>
        <w:rPr>
          <w:rFonts w:hint="eastAsia" w:ascii="仿宋_GB2312" w:eastAsia="仿宋_GB2312"/>
          <w:color w:val="auto"/>
          <w:sz w:val="32"/>
          <w:szCs w:val="32"/>
          <w:lang w:eastAsia="zh-CN"/>
        </w:rPr>
        <w:t>视同参保</w:t>
      </w:r>
      <w:r>
        <w:rPr>
          <w:rFonts w:hint="eastAsia" w:ascii="仿宋_GB2312" w:eastAsia="仿宋_GB2312"/>
          <w:color w:val="auto"/>
          <w:sz w:val="32"/>
          <w:szCs w:val="32"/>
        </w:rPr>
        <w:t>人员），基金支付比例为50%，按单位职工参保政策参保的，基金支付比例在未就业城乡居民基础上提高20个百分点。退休人员享受单位职工参保同等待遇标准。对居家和社区护理服务，基金支付比例在相应机构护理的基础上提高10个百分点。结合基金支出需求和运行情况，适时动态调整支付标准。</w:t>
      </w:r>
    </w:p>
    <w:p w14:paraId="2F674EF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3.基金年度最高支付限额不超过统筹区上年度城乡居民年人均可支配收入的50%</w:t>
      </w:r>
      <w:r>
        <w:rPr>
          <w:rFonts w:hint="eastAsia" w:ascii="仿宋_GB2312" w:eastAsia="仿宋_GB2312"/>
          <w:color w:val="auto"/>
          <w:sz w:val="32"/>
          <w:szCs w:val="32"/>
          <w:lang w:eastAsia="zh-CN"/>
        </w:rPr>
        <w:t>，</w:t>
      </w:r>
      <w:r>
        <w:rPr>
          <w:rFonts w:hint="eastAsia" w:ascii="仿宋_GB2312" w:eastAsia="仿宋_GB2312"/>
          <w:color w:val="auto"/>
          <w:sz w:val="32"/>
          <w:szCs w:val="32"/>
        </w:rPr>
        <w:t>其中居家和社区护理服务的支付限额不超过最高支付限额的50%。已建制的统筹区，高于此标准的可暂不调整，随可支配收入的上涨过渡到规定标准；新建制的统筹区要按照规定标准设定支付限额。</w:t>
      </w:r>
    </w:p>
    <w:p w14:paraId="294CBA7D">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（五）支付范围。</w:t>
      </w:r>
      <w:r>
        <w:rPr>
          <w:rFonts w:hint="eastAsia" w:ascii="仿宋_GB2312" w:eastAsia="仿宋_GB2312"/>
          <w:color w:val="auto"/>
          <w:sz w:val="32"/>
          <w:szCs w:val="32"/>
        </w:rPr>
        <w:t>基金主要用于支付符合规定的长期护理服务机构和人员提供长期护理基本服务所发生的费用，不直接向保障对象发放现金。全省执行统一的长期护理保险基本服务项目目录，已建立试点统筹区做好原有目录与全省目录的对照映射，3年左右逐步统一规范。按国家要求逐步将长期护理相关智能化服务和辅助器具等纳入支付范围。</w:t>
      </w:r>
    </w:p>
    <w:p w14:paraId="7F9B0AB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机构床位费、膳食费等非护理服务费用，应由医疗（生育）保险、工伤保险等其他基金支付的费用，依法应由第三人支付的费用、应由公共卫生负担的费用以及在非定点机构发生的费用，长期护理保险基金不予支付。领取工伤保险生活护理费的参保人员，不重复享受长期护理保险相关服务待遇。</w:t>
      </w:r>
    </w:p>
    <w:p w14:paraId="79F66531">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（六）激励约束。</w:t>
      </w:r>
      <w:r>
        <w:rPr>
          <w:rFonts w:hint="eastAsia" w:ascii="仿宋_GB2312" w:eastAsia="仿宋_GB2312"/>
          <w:color w:val="auto"/>
          <w:sz w:val="32"/>
          <w:szCs w:val="32"/>
        </w:rPr>
        <w:t>建立缴费时长和待遇水平相挂钩的激励约束机制。</w:t>
      </w:r>
    </w:p>
    <w:p w14:paraId="7C9505DA">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1.对连续参保满4年的参保人员，自第5年起每连续参保1年，提高长期护理保险最高支付限额1%，累计提高总额不超过原支付限额的20%。断保（不足1年的按1年计算，下同）之后再次参保的，连续参保年数重新计算。</w:t>
      </w:r>
    </w:p>
    <w:p w14:paraId="7C0E828A">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2.参保人员断保（除新生儿等特殊群体外非制度启动时的初次参保，下同）后再参保，需补缴断保期间（或未参保期间，下同）费用，补缴标准为再参保时的参保地缴费标准。</w:t>
      </w:r>
    </w:p>
    <w:p w14:paraId="53B2DC32">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断保人员再参保及未连续参保的，设置参保后固定待遇等待期180天。其中未连续参保的，每多断保1年，在固定待遇等待期基础上增加变动待遇等待期30天。参保人通过缴费可修复变动等待期，每补缴1年可减少30天变动待遇等待期，连续断缴4年以上的，修复后固定待遇等待期和变动待遇等待期之和原则上不得少于360天。</w:t>
      </w:r>
    </w:p>
    <w:p w14:paraId="0FB651F1">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4.断保人员再参保的，每断保1年，降低长期护理保险最高支付限额1%，累计降低总额不超过原支付限额的20%。</w:t>
      </w:r>
    </w:p>
    <w:p w14:paraId="607253FB">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断保人员再参保的，根据断保年限，在享受待遇时的第1个年度内降低待遇支付水平。断保不足5年（含）的，降低支付比例10个百分点；断保5-10年（含）的，降低支付比例20个百分点；断保10年以上的，降低支付比例30个百分点。</w:t>
      </w:r>
    </w:p>
    <w:p w14:paraId="1D0C9E5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上述激励措施统筹区</w:t>
      </w:r>
      <w:r>
        <w:rPr>
          <w:rFonts w:hint="eastAsia" w:ascii="仿宋_GB2312" w:eastAsia="仿宋_GB2312"/>
          <w:color w:val="auto"/>
          <w:sz w:val="32"/>
          <w:szCs w:val="32"/>
          <w:lang w:eastAsia="zh-CN"/>
        </w:rPr>
        <w:t>可自</w:t>
      </w:r>
      <w:r>
        <w:rPr>
          <w:rFonts w:hint="eastAsia" w:ascii="仿宋_GB2312" w:eastAsia="仿宋_GB2312"/>
          <w:color w:val="auto"/>
          <w:sz w:val="32"/>
          <w:szCs w:val="32"/>
        </w:rPr>
        <w:t>启动长期护理保险制度时（不早于2022年）计算，约束措施</w:t>
      </w:r>
      <w:r>
        <w:rPr>
          <w:rFonts w:hint="eastAsia" w:ascii="仿宋_GB2312" w:eastAsia="仿宋_GB2312"/>
          <w:color w:val="auto"/>
          <w:sz w:val="32"/>
          <w:szCs w:val="32"/>
          <w:lang w:eastAsia="zh-CN"/>
        </w:rPr>
        <w:t>可</w:t>
      </w:r>
      <w:r>
        <w:rPr>
          <w:rFonts w:hint="eastAsia" w:ascii="仿宋_GB2312" w:eastAsia="仿宋_GB2312"/>
          <w:color w:val="auto"/>
          <w:sz w:val="32"/>
          <w:szCs w:val="32"/>
        </w:rPr>
        <w:t>自202</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年起计算。</w:t>
      </w:r>
    </w:p>
    <w:p w14:paraId="08229D57">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三、管理运行</w:t>
      </w:r>
    </w:p>
    <w:p w14:paraId="32FAB526">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（七）评估管理。</w:t>
      </w:r>
      <w:bookmarkStart w:id="1" w:name="_Hlk206256296"/>
      <w:r>
        <w:rPr>
          <w:rFonts w:hint="eastAsia" w:ascii="仿宋_GB2312" w:eastAsia="仿宋_GB2312"/>
          <w:color w:val="auto"/>
          <w:sz w:val="32"/>
          <w:szCs w:val="32"/>
        </w:rPr>
        <w:t>失能等级评估执行全省统一的评估标准和管理办法，</w:t>
      </w:r>
      <w:bookmarkEnd w:id="1"/>
      <w:r>
        <w:rPr>
          <w:rFonts w:hint="eastAsia" w:ascii="仿宋_GB2312" w:eastAsia="仿宋_GB2312"/>
          <w:color w:val="auto"/>
          <w:sz w:val="32"/>
          <w:szCs w:val="32"/>
        </w:rPr>
        <w:t>支持独立评估机构发展，发挥家庭医生、养老服务师在失能等级评估和服务计划制定中的作用。</w:t>
      </w:r>
      <w:r>
        <w:rPr>
          <w:rFonts w:hint="eastAsia" w:ascii="仿宋_GB2312" w:hAnsi="仿宋_GB2312" w:eastAsia="仿宋_GB2312" w:cs="仿宋_GB2312"/>
          <w:color w:val="auto"/>
          <w:sz w:val="32"/>
          <w:szCs w:val="32"/>
        </w:rPr>
        <w:t>推动建立跨部门联合评估认定机制</w:t>
      </w:r>
      <w:r>
        <w:rPr>
          <w:rFonts w:hint="eastAsia" w:ascii="仿宋_GB2312" w:eastAsia="仿宋_GB2312"/>
          <w:color w:val="auto"/>
          <w:sz w:val="32"/>
          <w:szCs w:val="32"/>
        </w:rPr>
        <w:t>。评估服务费可按规定在长期护理保险基金中列支。按照国家要求，建立护理需求认定和服务计划制度，对评估机构实施定点协议管理，建立健全相应管理制度，规范评估人员培训。</w:t>
      </w:r>
    </w:p>
    <w:p w14:paraId="57044287">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（八）服务管理。</w:t>
      </w:r>
      <w:bookmarkStart w:id="2" w:name="_Hlk206257665"/>
      <w:r>
        <w:rPr>
          <w:rFonts w:hint="eastAsia" w:ascii="仿宋_GB2312" w:eastAsia="仿宋_GB2312"/>
          <w:color w:val="auto"/>
          <w:sz w:val="32"/>
          <w:szCs w:val="32"/>
        </w:rPr>
        <w:t>长期护理服务机构实行定点协议管理，促进资源合理配置。健全服务机构管理机制，加强机构规范化管理。支持基层医疗卫生机构、养老服务机构提供长期护理保险服务。促进长期护理服务人员队伍建设，建立长期照护师培训培养机制。</w:t>
      </w:r>
    </w:p>
    <w:bookmarkEnd w:id="2"/>
    <w:p w14:paraId="59791912">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（九）支付管理。</w:t>
      </w:r>
      <w:r>
        <w:rPr>
          <w:rFonts w:hint="eastAsia" w:ascii="仿宋_GB2312" w:eastAsia="仿宋_GB2312"/>
          <w:color w:val="auto"/>
          <w:sz w:val="32"/>
          <w:szCs w:val="32"/>
        </w:rPr>
        <w:t>健全长期护理保险服务质量评价机制和激励约束机制。建立与长期护理保险服务相适应的基金支付机制和协商谈判机制。在基金支出预算的基础上，建立总额付费机制。根据定点机构服务范围、质量、能力和享受护理服务人员的数量、失能等级等情况，采取人头、床日、服务项目、服务时长等付费管理，不断完善支付方式。建立适应长期护理保险的费用审核和结算机制。</w:t>
      </w:r>
    </w:p>
    <w:p w14:paraId="1C4F106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楷体_GB2312" w:eastAsia="楷体_GB2312"/>
          <w:color w:val="auto"/>
          <w:sz w:val="32"/>
          <w:szCs w:val="32"/>
        </w:rPr>
        <w:t>（十）基金管理。</w:t>
      </w:r>
      <w:r>
        <w:rPr>
          <w:rFonts w:hint="eastAsia" w:ascii="仿宋_GB2312" w:eastAsia="仿宋_GB2312"/>
          <w:color w:val="auto"/>
          <w:sz w:val="32"/>
          <w:szCs w:val="32"/>
        </w:rPr>
        <w:t>各渠道按规定筹集的资金，全部作为长期护理保险基金统一管理。基金纳入社会保障基金财政专户，单独建账，单独核算，专款专用。将长期护理保险纳入社会保险基金预算编制范围，科学编制收支预算，健全基金预算管理制度。加强财务管理，做好基金会计核算和统计分析。建立长期护理保险基金运行评估和风险防范机制，做好中长期精算分析，根据实际情况及时按规定调整筹资和待遇政策，防范风险。</w:t>
      </w:r>
    </w:p>
    <w:p w14:paraId="0FE4577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（十一）监督管理。</w:t>
      </w:r>
      <w:r>
        <w:rPr>
          <w:rFonts w:hint="eastAsia" w:ascii="仿宋_GB2312" w:eastAsia="仿宋_GB2312"/>
          <w:color w:val="auto"/>
          <w:sz w:val="32"/>
          <w:szCs w:val="32"/>
        </w:rPr>
        <w:t>建立健全基金监管体系。健全对欺诈骗保人员、机构惩戒机制。创新监管手段，完善举报投诉、信息披露、内部控制、欺诈防范、违规惩戒、追责问责等管理制度。建立长期护理保险基金监管长效机制。加大基金监管执法力度，做好协议管理和行政监管衔接。</w:t>
      </w:r>
    </w:p>
    <w:p w14:paraId="45FBB197">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（十二）经办管理。</w:t>
      </w:r>
      <w:r>
        <w:rPr>
          <w:rFonts w:hint="eastAsia" w:ascii="仿宋_GB2312" w:eastAsia="仿宋_GB2312"/>
          <w:color w:val="auto"/>
          <w:sz w:val="32"/>
          <w:szCs w:val="32"/>
        </w:rPr>
        <w:t>加强经办服务能力建设，积极协调人力配备，健全经办规程和服务标准，优化服务流程，提升服务便捷性。完善社会力量参与经办管理服务机制，相关费用依据协议约定按比例或按定额从基金中支付。规范失能等级评估和护理服务文书体系，健全长期护理保险评估和服务质控体系。完善对失能评估机构、护理服务机构和参与经办的第三方机构的考核评价和激励约束机制，强化考核结果应用，提高管理服务质效。推进长期护理保险信息化、标准化建设，实现待遇享受人“一人一档”。建立专业技术标准组织和专家智库。</w:t>
      </w:r>
    </w:p>
    <w:p w14:paraId="63D8CD6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（十三）异地管理。</w:t>
      </w:r>
      <w:r>
        <w:rPr>
          <w:rFonts w:hint="eastAsia" w:ascii="仿宋_GB2312" w:eastAsia="仿宋_GB2312"/>
          <w:color w:val="auto"/>
          <w:sz w:val="32"/>
          <w:szCs w:val="32"/>
        </w:rPr>
        <w:t>符合条件的参保人员在已建立长期护理保险制度的居住地可享受异地长期护理保险待遇，待遇政策按照参保地标准执行。按照“参保地待遇、居住地管理”的原则探索推进省内异地长护直接结算。跨统筹区参保管理、待遇管理等经办业务规则与基本医保一致并应同步办理。</w:t>
      </w:r>
    </w:p>
    <w:p w14:paraId="0F4C3F83">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四、组织保障</w:t>
      </w:r>
    </w:p>
    <w:p w14:paraId="66735CA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rPr>
      </w:pPr>
      <w:r>
        <w:rPr>
          <w:rFonts w:hint="eastAsia" w:ascii="楷体_GB2312" w:eastAsia="楷体_GB2312"/>
          <w:color w:val="auto"/>
          <w:sz w:val="32"/>
          <w:szCs w:val="32"/>
        </w:rPr>
        <w:t>（十四）加强组织领导</w:t>
      </w:r>
      <w:r>
        <w:rPr>
          <w:rFonts w:hint="eastAsia" w:ascii="仿宋_GB2312" w:eastAsia="仿宋_GB2312"/>
          <w:color w:val="auto"/>
          <w:sz w:val="32"/>
          <w:szCs w:val="32"/>
        </w:rPr>
        <w:t>。各市（州）党委、政府要切实加强组织领导，按照本实施方案要求，结合本地实际制定本统筹区的实施方案。各地实施方案应包括总体工作思路、改革推进步骤、筹资待遇政策、基金中长期测算等。各地实施方案备案程序为市（州）医保部门会同财政部门报经市（州）政府同意，报省级医保部门、财政部门审核</w:t>
      </w:r>
      <w:r>
        <w:rPr>
          <w:rFonts w:hint="eastAsia" w:ascii="仿宋_GB2312" w:eastAsia="仿宋_GB2312"/>
          <w:color w:val="auto"/>
          <w:sz w:val="32"/>
          <w:szCs w:val="32"/>
          <w:lang w:eastAsia="zh-CN"/>
        </w:rPr>
        <w:t>，</w:t>
      </w:r>
      <w:r>
        <w:rPr>
          <w:rFonts w:hint="eastAsia" w:ascii="仿宋_GB2312" w:eastAsia="仿宋_GB2312"/>
          <w:color w:val="auto"/>
          <w:sz w:val="32"/>
          <w:szCs w:val="32"/>
        </w:rPr>
        <w:t>省政府批准后实施。实施方案送审时间原则上在</w:t>
      </w:r>
      <w:r>
        <w:rPr>
          <w:rFonts w:hint="default" w:ascii="Arial" w:hAnsi="Arial" w:eastAsia="仿宋_GB2312" w:cs="Arial"/>
          <w:color w:val="auto"/>
          <w:sz w:val="32"/>
          <w:szCs w:val="32"/>
        </w:rPr>
        <w:t>××××</w:t>
      </w:r>
      <w:r>
        <w:rPr>
          <w:rFonts w:hint="eastAsia" w:ascii="仿宋_GB2312" w:eastAsia="仿宋_GB2312"/>
          <w:color w:val="auto"/>
          <w:sz w:val="32"/>
          <w:szCs w:val="32"/>
        </w:rPr>
        <w:t>年</w:t>
      </w:r>
      <w:r>
        <w:rPr>
          <w:rFonts w:hint="default" w:ascii="Arial" w:hAnsi="Arial" w:eastAsia="仿宋_GB2312" w:cs="Arial"/>
          <w:color w:val="auto"/>
          <w:sz w:val="32"/>
          <w:szCs w:val="32"/>
        </w:rPr>
        <w:t>××</w:t>
      </w:r>
      <w:r>
        <w:rPr>
          <w:rFonts w:hint="eastAsia" w:ascii="仿宋_GB2312" w:eastAsia="仿宋_GB2312"/>
          <w:color w:val="auto"/>
          <w:sz w:val="32"/>
          <w:szCs w:val="32"/>
        </w:rPr>
        <w:t>月</w:t>
      </w:r>
      <w:r>
        <w:rPr>
          <w:rFonts w:hint="default" w:ascii="Arial" w:hAnsi="Arial" w:eastAsia="仿宋_GB2312" w:cs="Arial"/>
          <w:color w:val="auto"/>
          <w:sz w:val="32"/>
          <w:szCs w:val="32"/>
        </w:rPr>
        <w:t>××</w:t>
      </w:r>
      <w:r>
        <w:rPr>
          <w:rFonts w:hint="eastAsia" w:ascii="仿宋_GB2312" w:eastAsia="仿宋_GB2312"/>
          <w:color w:val="auto"/>
          <w:sz w:val="32"/>
          <w:szCs w:val="32"/>
        </w:rPr>
        <w:t>日前。重大事项及时按程序向省委、省政府请示报告。</w:t>
      </w:r>
    </w:p>
    <w:p w14:paraId="6E63FF2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《实施方案》印发后，按照同城同待的原则，省直统筹区筹资及待遇支付有关政策按照长春统筹区有关规定执行。</w:t>
      </w:r>
    </w:p>
    <w:p w14:paraId="53A7E510">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（十五）加强协同联动。</w:t>
      </w:r>
      <w:r>
        <w:rPr>
          <w:rFonts w:hint="eastAsia" w:ascii="仿宋_GB2312" w:eastAsia="仿宋_GB2312"/>
          <w:color w:val="auto"/>
          <w:sz w:val="32"/>
          <w:szCs w:val="32"/>
        </w:rPr>
        <w:t>医保、财政、民政、卫生健康、人社、农业农村、教育、残联、金融监管等部门要加强协助配合，形成工作合力。</w:t>
      </w:r>
      <w:r>
        <w:rPr>
          <w:rFonts w:hint="eastAsia" w:ascii="仿宋_GB2312" w:eastAsia="仿宋_GB2312"/>
          <w:b/>
          <w:bCs/>
          <w:color w:val="auto"/>
          <w:sz w:val="32"/>
          <w:szCs w:val="32"/>
        </w:rPr>
        <w:t>医疗保障部门</w:t>
      </w:r>
      <w:r>
        <w:rPr>
          <w:rFonts w:hint="eastAsia" w:ascii="仿宋_GB2312" w:eastAsia="仿宋_GB2312"/>
          <w:color w:val="auto"/>
          <w:sz w:val="32"/>
          <w:szCs w:val="32"/>
        </w:rPr>
        <w:t>负责牵头制度建设工作，会同有关部门制定并逐步完善相应政策，做好管理服务工作。</w:t>
      </w:r>
      <w:r>
        <w:rPr>
          <w:rFonts w:hint="eastAsia" w:ascii="仿宋_GB2312" w:eastAsia="仿宋_GB2312"/>
          <w:b/>
          <w:bCs/>
          <w:color w:val="auto"/>
          <w:sz w:val="32"/>
          <w:szCs w:val="32"/>
        </w:rPr>
        <w:t>财政部门</w:t>
      </w:r>
      <w:r>
        <w:rPr>
          <w:rFonts w:hint="eastAsia" w:ascii="仿宋_GB2312" w:eastAsia="仿宋_GB2312"/>
          <w:color w:val="auto"/>
          <w:sz w:val="32"/>
          <w:szCs w:val="32"/>
        </w:rPr>
        <w:t>负责及时足额安排相关财政补助资金、配合医保部门做好基金测算等。</w:t>
      </w:r>
      <w:r>
        <w:rPr>
          <w:rFonts w:hint="eastAsia" w:ascii="仿宋_GB2312" w:eastAsia="仿宋_GB2312"/>
          <w:b/>
          <w:bCs/>
          <w:color w:val="auto"/>
          <w:sz w:val="32"/>
          <w:szCs w:val="32"/>
        </w:rPr>
        <w:t>税务部门</w:t>
      </w:r>
      <w:r>
        <w:rPr>
          <w:rFonts w:hint="eastAsia" w:ascii="仿宋_GB2312" w:eastAsia="仿宋_GB2312"/>
          <w:color w:val="auto"/>
          <w:sz w:val="32"/>
          <w:szCs w:val="32"/>
        </w:rPr>
        <w:t>负责做好保费征收等工作。</w:t>
      </w:r>
      <w:r>
        <w:rPr>
          <w:rFonts w:hint="eastAsia" w:ascii="仿宋_GB2312" w:eastAsia="仿宋_GB2312"/>
          <w:b/>
          <w:bCs/>
          <w:color w:val="auto"/>
          <w:sz w:val="32"/>
          <w:szCs w:val="32"/>
        </w:rPr>
        <w:t>民政部门、卫生健康部门、残联与医保部门</w:t>
      </w:r>
      <w:r>
        <w:rPr>
          <w:rFonts w:hint="eastAsia" w:ascii="仿宋_GB2312" w:eastAsia="仿宋_GB2312"/>
          <w:color w:val="auto"/>
          <w:sz w:val="32"/>
          <w:szCs w:val="32"/>
        </w:rPr>
        <w:t>共同负责加强保险体系和服务体系协同联动、探索失能等级评估结果跨部门互认机制等。</w:t>
      </w:r>
      <w:r>
        <w:rPr>
          <w:rFonts w:hint="eastAsia" w:ascii="仿宋_GB2312" w:eastAsia="仿宋_GB2312"/>
          <w:b/>
          <w:bCs/>
          <w:color w:val="auto"/>
          <w:sz w:val="32"/>
          <w:szCs w:val="32"/>
        </w:rPr>
        <w:t>民政部门、财政部门、医保部门、残联</w:t>
      </w:r>
      <w:r>
        <w:rPr>
          <w:rFonts w:hint="eastAsia" w:ascii="仿宋_GB2312" w:eastAsia="仿宋_GB2312"/>
          <w:color w:val="auto"/>
          <w:sz w:val="32"/>
          <w:szCs w:val="32"/>
        </w:rPr>
        <w:t>共同做好相关保险与补贴制度的衔接。</w:t>
      </w:r>
      <w:r>
        <w:rPr>
          <w:rFonts w:hint="eastAsia" w:ascii="仿宋_GB2312" w:eastAsia="仿宋_GB2312"/>
          <w:b/>
          <w:bCs/>
          <w:color w:val="auto"/>
          <w:sz w:val="32"/>
          <w:szCs w:val="32"/>
        </w:rPr>
        <w:t>卫生健康部门</w:t>
      </w:r>
      <w:r>
        <w:rPr>
          <w:rFonts w:hint="eastAsia" w:ascii="仿宋_GB2312" w:eastAsia="仿宋_GB2312"/>
          <w:color w:val="auto"/>
          <w:sz w:val="32"/>
          <w:szCs w:val="32"/>
        </w:rPr>
        <w:t>负责鼓励基层医疗卫生机构提供长期护理保险服务、探索发挥家庭医生在失能等级评估中的作用等。</w:t>
      </w:r>
      <w:r>
        <w:rPr>
          <w:rFonts w:hint="eastAsia" w:ascii="仿宋_GB2312" w:eastAsia="仿宋_GB2312"/>
          <w:b/>
          <w:bCs/>
          <w:color w:val="auto"/>
          <w:sz w:val="32"/>
          <w:szCs w:val="32"/>
        </w:rPr>
        <w:t>人社部门</w:t>
      </w:r>
      <w:r>
        <w:rPr>
          <w:rFonts w:hint="eastAsia" w:ascii="仿宋_GB2312" w:eastAsia="仿宋_GB2312"/>
          <w:color w:val="auto"/>
          <w:sz w:val="32"/>
          <w:szCs w:val="32"/>
        </w:rPr>
        <w:t>负责配合做好长期护理保险与工伤保险衔接、退休人员保费代扣代缴以及长期照护师培训，对符合条件的按规定给予职业技能培训补贴等工作。</w:t>
      </w:r>
      <w:r>
        <w:rPr>
          <w:rFonts w:hint="eastAsia" w:ascii="仿宋_GB2312" w:eastAsia="仿宋_GB2312"/>
          <w:b/>
          <w:bCs/>
          <w:color w:val="auto"/>
          <w:sz w:val="32"/>
          <w:szCs w:val="32"/>
        </w:rPr>
        <w:t>农业农村部门</w:t>
      </w:r>
      <w:r>
        <w:rPr>
          <w:rFonts w:hint="eastAsia" w:ascii="仿宋_GB2312" w:eastAsia="仿宋_GB2312"/>
          <w:color w:val="auto"/>
          <w:sz w:val="32"/>
          <w:szCs w:val="32"/>
        </w:rPr>
        <w:t>负责做好防止返贫致贫对象认定和帮扶工作。</w:t>
      </w:r>
      <w:r>
        <w:rPr>
          <w:rFonts w:hint="eastAsia" w:ascii="仿宋_GB2312" w:eastAsia="仿宋_GB2312"/>
          <w:b/>
          <w:bCs/>
          <w:color w:val="auto"/>
          <w:sz w:val="32"/>
          <w:szCs w:val="32"/>
        </w:rPr>
        <w:t>残联</w:t>
      </w:r>
      <w:r>
        <w:rPr>
          <w:rFonts w:hint="eastAsia" w:ascii="仿宋_GB2312" w:eastAsia="仿宋_GB2312"/>
          <w:color w:val="auto"/>
          <w:sz w:val="32"/>
          <w:szCs w:val="32"/>
        </w:rPr>
        <w:t>协同做好残疾人参保相关工作。</w:t>
      </w:r>
      <w:r>
        <w:rPr>
          <w:rFonts w:hint="eastAsia" w:ascii="仿宋_GB2312" w:eastAsia="仿宋_GB2312"/>
          <w:b/>
          <w:bCs/>
          <w:color w:val="auto"/>
          <w:sz w:val="32"/>
          <w:szCs w:val="32"/>
        </w:rPr>
        <w:t>教育部门</w:t>
      </w:r>
      <w:r>
        <w:rPr>
          <w:rFonts w:hint="eastAsia" w:ascii="仿宋_GB2312" w:eastAsia="仿宋_GB2312"/>
          <w:color w:val="auto"/>
          <w:sz w:val="32"/>
          <w:szCs w:val="32"/>
        </w:rPr>
        <w:t>负责</w:t>
      </w:r>
      <w:r>
        <w:rPr>
          <w:rFonts w:hint="eastAsia" w:ascii="仿宋_GB2312" w:eastAsia="仿宋_GB2312"/>
          <w:color w:val="auto"/>
          <w:sz w:val="32"/>
          <w:szCs w:val="32"/>
          <w:lang w:eastAsia="zh-CN"/>
        </w:rPr>
        <w:t>指导</w:t>
      </w:r>
      <w:r>
        <w:rPr>
          <w:rFonts w:hint="eastAsia" w:ascii="仿宋_GB2312" w:eastAsia="仿宋_GB2312"/>
          <w:color w:val="auto"/>
          <w:sz w:val="32"/>
          <w:szCs w:val="32"/>
        </w:rPr>
        <w:t>高职院校等加大养老服务人才培养力度。</w:t>
      </w:r>
      <w:r>
        <w:rPr>
          <w:rFonts w:hint="eastAsia" w:ascii="仿宋_GB2312" w:eastAsia="仿宋_GB2312"/>
          <w:b/>
          <w:bCs/>
          <w:color w:val="auto"/>
          <w:sz w:val="32"/>
          <w:szCs w:val="32"/>
        </w:rPr>
        <w:t>金融监管部门</w:t>
      </w:r>
      <w:r>
        <w:rPr>
          <w:rFonts w:hint="eastAsia" w:ascii="仿宋_GB2312" w:eastAsia="仿宋_GB2312"/>
          <w:color w:val="auto"/>
          <w:sz w:val="32"/>
          <w:szCs w:val="32"/>
        </w:rPr>
        <w:t>负责商业保险机构参与长期护理保险服务的监管及推进商业长期护理保险发展等工作。</w:t>
      </w:r>
      <w:r>
        <w:rPr>
          <w:rFonts w:hint="eastAsia" w:ascii="仿宋_GB2312" w:eastAsia="仿宋_GB2312"/>
          <w:b/>
          <w:bCs/>
          <w:color w:val="auto"/>
          <w:sz w:val="32"/>
          <w:szCs w:val="32"/>
        </w:rPr>
        <w:t>红十字会</w:t>
      </w:r>
      <w:r>
        <w:rPr>
          <w:rFonts w:hint="eastAsia" w:ascii="仿宋_GB2312" w:eastAsia="仿宋_GB2312"/>
          <w:color w:val="auto"/>
          <w:sz w:val="32"/>
          <w:szCs w:val="32"/>
        </w:rPr>
        <w:t>负责为符合条件的造血干细胞捐献者缴纳长期护理保险提供资助。</w:t>
      </w:r>
      <w:r>
        <w:rPr>
          <w:rFonts w:hint="eastAsia" w:ascii="仿宋_GB2312" w:eastAsia="仿宋_GB2312"/>
          <w:b/>
          <w:bCs/>
          <w:color w:val="auto"/>
          <w:sz w:val="32"/>
          <w:szCs w:val="32"/>
        </w:rPr>
        <w:t>工会</w:t>
      </w:r>
      <w:r>
        <w:rPr>
          <w:rFonts w:hint="eastAsia" w:ascii="仿宋_GB2312" w:eastAsia="仿宋_GB2312"/>
          <w:color w:val="auto"/>
          <w:sz w:val="32"/>
          <w:szCs w:val="32"/>
        </w:rPr>
        <w:t>负责协助开展参保动员。</w:t>
      </w:r>
    </w:p>
    <w:p w14:paraId="6B0B69AE">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（十六）做好宣传评估。</w:t>
      </w:r>
      <w:r>
        <w:rPr>
          <w:rFonts w:hint="eastAsia" w:ascii="仿宋_GB2312" w:eastAsia="仿宋_GB2312"/>
          <w:color w:val="auto"/>
          <w:sz w:val="32"/>
          <w:szCs w:val="32"/>
        </w:rPr>
        <w:t>各地要加强宣传引导，做好政策解读，及时回应社会关切，合理引导预期，广泛凝聚社会共识，为长期护理保险制度有序推进构建良好社会氛围。制度实施后要及时开展阶段性总结，按要求报送工作进展、政策制定和运行数据等，确保信息上下贯通，工作上下联动。省医疗保障部门将会同有关部门建立健全工作调度机制，跟踪指导各地制度建立情况，定期开展运行分析和评估考核，及时研究解决制度推进中的新情况新问题，推进改革目标如期实现。要坚持底线思维，建立风险防范和重大事件应急处置机制，遇有重大舆情风险，及时报告并妥善应对处置。</w:t>
      </w:r>
    </w:p>
    <w:p w14:paraId="6A25AEE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F6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AB074">
                          <w:pPr>
                            <w:pStyle w:val="2"/>
                            <w:rPr>
                              <w:sz w:val="24"/>
                              <w:szCs w:val="40"/>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7AB074">
                    <w:pPr>
                      <w:pStyle w:val="2"/>
                      <w:rPr>
                        <w:sz w:val="24"/>
                        <w:szCs w:val="40"/>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66DC0"/>
    <w:rsid w:val="0A331CD3"/>
    <w:rsid w:val="0AB155F2"/>
    <w:rsid w:val="0C676F35"/>
    <w:rsid w:val="12EF3EDA"/>
    <w:rsid w:val="147078EE"/>
    <w:rsid w:val="199F2ACD"/>
    <w:rsid w:val="1F806964"/>
    <w:rsid w:val="20D34741"/>
    <w:rsid w:val="25E90563"/>
    <w:rsid w:val="333860D6"/>
    <w:rsid w:val="37DA6E30"/>
    <w:rsid w:val="399F2FBB"/>
    <w:rsid w:val="3C552448"/>
    <w:rsid w:val="3D594F2A"/>
    <w:rsid w:val="3E6D3687"/>
    <w:rsid w:val="42517B30"/>
    <w:rsid w:val="43A56FC1"/>
    <w:rsid w:val="4B1F21AD"/>
    <w:rsid w:val="4C2E5368"/>
    <w:rsid w:val="4D50349F"/>
    <w:rsid w:val="56653CED"/>
    <w:rsid w:val="57471F1B"/>
    <w:rsid w:val="5A001045"/>
    <w:rsid w:val="5BE120BE"/>
    <w:rsid w:val="60FC2A3A"/>
    <w:rsid w:val="6378680C"/>
    <w:rsid w:val="6B4027A2"/>
    <w:rsid w:val="72423E3E"/>
    <w:rsid w:val="76612136"/>
    <w:rsid w:val="78C508ED"/>
    <w:rsid w:val="7ECA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5327</Words>
  <Characters>5442</Characters>
  <Lines>0</Lines>
  <Paragraphs>0</Paragraphs>
  <TotalTime>48</TotalTime>
  <ScaleCrop>false</ScaleCrop>
  <LinksUpToDate>false</LinksUpToDate>
  <CharactersWithSpaces>5496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2025-10-24T01:29:00Z</dcterms:created>
  <dc:creator>Administrator</dc:creator>
  <cp:lastModifiedBy>常芳源</cp:lastModifiedBy>
  <cp:lastPrinted>2025-10-24T09:48:00Z</cp:lastPrinted>
  <dcterms:modified xsi:type="dcterms:W3CDTF">2025-10-24T13:43:08Z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eyJoZGlkIjoiZWE4ZWQ2MTA5MTZjNzQxMWYzYzJiYmU0ZDUxNzRjMjIiLCJ1c2VySWQiOiIyMzcwMzM4NTEifQ==</vt:lpwstr>
  </property>
  <property fmtid="{D5CDD505-2E9C-101B-9397-08002B2CF9AE}" pid="4" name="ICV">
    <vt:lpwstr>462CEBDC60C04E4F9DE3C05EFB001602_13</vt:lpwstr>
  </property>
</Properties>
</file>