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黑体" w:hAnsi="黑体" w:eastAsia="黑体" w:cs="黑体"/>
          <w:bCs/>
          <w:color w:val="auto"/>
          <w:sz w:val="32"/>
          <w:szCs w:val="32"/>
          <w:lang w:val="en-US" w:eastAsia="zh-CN"/>
        </w:rPr>
      </w:pPr>
      <w:r>
        <w:rPr>
          <w:rFonts w:hint="default" w:ascii="Times New Roman" w:hAnsi="Times New Roman" w:eastAsia="黑体" w:cs="Times New Roman"/>
          <w:bCs/>
          <w:color w:val="auto"/>
          <w:sz w:val="32"/>
          <w:szCs w:val="32"/>
          <w:lang w:val="en-US" w:eastAsia="zh-CN"/>
        </w:rPr>
        <w:t>附件2</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已上市第二类医疗器械产品在津注册</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申报资料指南</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Times New Roman" w:hAnsi="Times New Roman" w:eastAsia="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注册申请人应当按照国家药品监督管理局《关于公布医疗器械注册申报资料要求和批准证明文件格式的公告》（2021年 第121号）、《关于公布体外诊断试剂注册申报资料要求和批准证明文件格式的公告》（2021年 第122号）和《天津市药品监督管理局关于调整医疗器械及体外诊断试剂注册申报资料要求的通告》（2021年第3号）等规定，并按照如下要求提交相应注册申报资料：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一、“1.监管文件”目录下“关联文件”要求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（一）注册申请人与原注册人的关系（包括法律责任）说明文件，应当附相关协议、质量责任、股权证明等文件。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注册申请人与原医疗器械注册人具有同一实际控制人的，应当提供双方具有同一实际控制人的说明及佐证文件。说明文件可包含双方的股权关系说明等，佐证文件应当包括距注册申请日期最近的注册申请人《企业年度报告书》等含实际控制人信息的报告并已按主管部门要求上传或披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二）注册申请人应当提交由原医疗器械注册人出具的明确同意注册申请人使用原注册申报资料开展注册申报和生产产品的授权书。注册申请人应当承诺主要原材料和主要生产工艺不发生改变，提供产品生产质量管理体系符合《医疗器械生产质量管理规范》的自查报告和质量管理体系对比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进口医疗器械产品的授权书应当经进口医疗器械注册人所在地公证机构公证。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三）注册申请人应当提交原医疗器械注册证及其附件的复印件、医疗器械变更注册（备案）文件及其附件的复印件，包括：已取得的原第二类医疗器械注册证、上一注册周期变更注册或备案文件、说明书、产品技术要求等，并提交原第二类医疗器械产品历年来强制性标准与注册指导原则发布与执行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二、“1.监管文件”目录下“申报前与监管机构的联系情况和沟通记录”要求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注册申请人开展办理前沟通情况。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三、“1.监管文件”目录下“符合性声明”要求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注册申请人和原医疗器械注册人出具的资料真实性承诺。</w:t>
      </w:r>
      <w:r>
        <w:rPr>
          <w:rFonts w:hint="default" w:ascii="Times New Roman" w:hAnsi="Times New Roman" w:eastAsia="仿宋_GB2312"/>
          <w:bCs/>
          <w:color w:val="auto"/>
          <w:sz w:val="32"/>
          <w:szCs w:val="32"/>
          <w:lang w:val="en-US" w:eastAsia="zh-CN"/>
        </w:rPr>
        <w:t>（</w:t>
      </w:r>
      <w:r>
        <w:rPr>
          <w:rFonts w:hint="eastAsia" w:ascii="Times New Roman" w:hAnsi="Times New Roman" w:eastAsia="仿宋_GB2312"/>
          <w:bCs/>
          <w:color w:val="auto"/>
          <w:sz w:val="32"/>
          <w:szCs w:val="32"/>
          <w:lang w:val="en-US" w:eastAsia="zh-CN"/>
        </w:rPr>
        <w:t>由</w:t>
      </w:r>
      <w:r>
        <w:rPr>
          <w:rFonts w:hint="default" w:ascii="Times New Roman" w:hAnsi="Times New Roman" w:eastAsia="仿宋_GB2312"/>
          <w:bCs/>
          <w:color w:val="auto"/>
          <w:sz w:val="32"/>
          <w:szCs w:val="32"/>
          <w:lang w:val="en-US" w:eastAsia="zh-CN"/>
        </w:rPr>
        <w:t>注册申请人和</w:t>
      </w:r>
      <w:r>
        <w:rPr>
          <w:rFonts w:hint="eastAsia" w:ascii="Times New Roman" w:hAnsi="Times New Roman" w:eastAsia="仿宋_GB2312"/>
          <w:bCs/>
          <w:color w:val="auto"/>
          <w:sz w:val="32"/>
          <w:szCs w:val="32"/>
          <w:lang w:val="en-US" w:eastAsia="zh-CN"/>
        </w:rPr>
        <w:t>原</w:t>
      </w:r>
      <w:r>
        <w:rPr>
          <w:rFonts w:hint="default" w:ascii="Times New Roman" w:hAnsi="Times New Roman" w:eastAsia="仿宋_GB2312"/>
          <w:bCs/>
          <w:color w:val="auto"/>
          <w:sz w:val="32"/>
          <w:szCs w:val="32"/>
          <w:lang w:val="en-US" w:eastAsia="zh-CN"/>
        </w:rPr>
        <w:t>注册人分别</w:t>
      </w:r>
      <w:r>
        <w:rPr>
          <w:rFonts w:hint="eastAsia" w:ascii="Times New Roman" w:hAnsi="Times New Roman" w:eastAsia="仿宋_GB2312"/>
          <w:bCs/>
          <w:color w:val="auto"/>
          <w:sz w:val="32"/>
          <w:szCs w:val="32"/>
          <w:lang w:val="en-US" w:eastAsia="zh-CN"/>
        </w:rPr>
        <w:t>提供</w:t>
      </w:r>
      <w:r>
        <w:rPr>
          <w:rFonts w:hint="default" w:ascii="Times New Roman" w:hAnsi="Times New Roman" w:eastAsia="仿宋_GB2312"/>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四、“6.质量管理体系文件”目录下“综述”要求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bCs/>
          <w:color w:val="auto"/>
          <w:sz w:val="32"/>
          <w:szCs w:val="32"/>
          <w:lang w:val="en-US" w:eastAsia="zh-CN"/>
        </w:rPr>
      </w:pPr>
      <w:r>
        <w:rPr>
          <w:rFonts w:hint="default" w:ascii="Times New Roman" w:hAnsi="Times New Roman" w:eastAsia="仿宋_GB2312"/>
          <w:bCs/>
          <w:color w:val="auto"/>
          <w:sz w:val="32"/>
          <w:szCs w:val="32"/>
          <w:lang w:val="en-US" w:eastAsia="zh-CN"/>
        </w:rPr>
        <w:t>申请注册产品与</w:t>
      </w:r>
      <w:r>
        <w:rPr>
          <w:rFonts w:hint="eastAsia" w:ascii="Times New Roman" w:hAnsi="Times New Roman" w:eastAsia="仿宋_GB2312"/>
          <w:bCs/>
          <w:color w:val="auto"/>
          <w:sz w:val="32"/>
          <w:szCs w:val="32"/>
          <w:lang w:val="en-US" w:eastAsia="zh-CN"/>
        </w:rPr>
        <w:t>原境内或</w:t>
      </w:r>
      <w:r>
        <w:rPr>
          <w:rFonts w:hint="default" w:ascii="Times New Roman" w:hAnsi="Times New Roman" w:eastAsia="仿宋_GB2312"/>
          <w:bCs/>
          <w:color w:val="auto"/>
          <w:sz w:val="32"/>
          <w:szCs w:val="32"/>
          <w:lang w:val="en-US" w:eastAsia="zh-CN"/>
        </w:rPr>
        <w:t>进口产品生产质量管理体系等同性的声明。（</w:t>
      </w:r>
      <w:r>
        <w:rPr>
          <w:rFonts w:hint="eastAsia" w:ascii="Times New Roman" w:hAnsi="Times New Roman" w:eastAsia="仿宋_GB2312"/>
          <w:bCs/>
          <w:color w:val="auto"/>
          <w:sz w:val="32"/>
          <w:szCs w:val="32"/>
          <w:lang w:val="en-US" w:eastAsia="zh-CN"/>
        </w:rPr>
        <w:t>由</w:t>
      </w:r>
      <w:r>
        <w:rPr>
          <w:rFonts w:hint="default" w:ascii="Times New Roman" w:hAnsi="Times New Roman" w:eastAsia="仿宋_GB2312"/>
          <w:bCs/>
          <w:color w:val="auto"/>
          <w:sz w:val="32"/>
          <w:szCs w:val="32"/>
          <w:lang w:val="en-US" w:eastAsia="zh-CN"/>
        </w:rPr>
        <w:t>注册申请人和</w:t>
      </w:r>
      <w:r>
        <w:rPr>
          <w:rFonts w:hint="eastAsia" w:ascii="Times New Roman" w:hAnsi="Times New Roman" w:eastAsia="仿宋_GB2312"/>
          <w:bCs/>
          <w:color w:val="auto"/>
          <w:sz w:val="32"/>
          <w:szCs w:val="32"/>
          <w:lang w:val="en-US" w:eastAsia="zh-CN"/>
        </w:rPr>
        <w:t>原</w:t>
      </w:r>
      <w:r>
        <w:rPr>
          <w:rFonts w:hint="default" w:ascii="Times New Roman" w:hAnsi="Times New Roman" w:eastAsia="仿宋_GB2312"/>
          <w:bCs/>
          <w:color w:val="auto"/>
          <w:sz w:val="32"/>
          <w:szCs w:val="32"/>
          <w:lang w:val="en-US" w:eastAsia="zh-CN"/>
        </w:rPr>
        <w:t>注册人分别</w:t>
      </w:r>
      <w:r>
        <w:rPr>
          <w:rFonts w:hint="eastAsia" w:ascii="Times New Roman" w:hAnsi="Times New Roman" w:eastAsia="仿宋_GB2312"/>
          <w:bCs/>
          <w:color w:val="auto"/>
          <w:sz w:val="32"/>
          <w:szCs w:val="32"/>
          <w:lang w:val="en-US" w:eastAsia="zh-CN"/>
        </w:rPr>
        <w:t>提供</w:t>
      </w:r>
      <w:r>
        <w:rPr>
          <w:rFonts w:hint="default" w:ascii="Times New Roman" w:hAnsi="Times New Roman" w:eastAsia="仿宋_GB2312"/>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五、“2.综述资料”目录下“其他需说明的内容”要求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提交原注册人的原注册申报资料的，应当在提供申报资料提交说明及相应原产品注册申报资料的清单。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其中，医疗器械产品的综述资料、非临床资料（安全和性能基本原则清单、产品技术要求及检验报告除外）、临床评价资料，可使用原医疗器械的原注册申报资料。产品技术要求及检验报告应当体现产品符合适用的强制性标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六、其他要求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bCs/>
          <w:color w:val="auto"/>
          <w:sz w:val="32"/>
          <w:szCs w:val="32"/>
          <w:lang w:val="en-US" w:eastAsia="zh-CN"/>
        </w:rPr>
      </w:pPr>
      <w:bookmarkStart w:id="0" w:name="_GoBack"/>
      <w:bookmarkEnd w:id="0"/>
      <w:r>
        <w:rPr>
          <w:rFonts w:hint="default" w:ascii="Times New Roman" w:hAnsi="Times New Roman" w:eastAsia="仿宋_GB2312"/>
          <w:bCs/>
          <w:color w:val="auto"/>
          <w:sz w:val="32"/>
          <w:szCs w:val="32"/>
          <w:lang w:val="en-US" w:eastAsia="zh-CN"/>
        </w:rPr>
        <w:t>各项文件除关联文件外，均应当以中文形式提供。如证明性文件为外文形式，还应当提供中文译本并由代理人签章。根据外文资料翻译的申报资料，应当同时提供原文。</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ODZjOWZlMzE5YWQ3OWRiZTgwODQzYWE1NGJlMmEifQ=="/>
  </w:docVars>
  <w:rsids>
    <w:rsidRoot w:val="441901EC"/>
    <w:rsid w:val="1C45336E"/>
    <w:rsid w:val="35912B2A"/>
    <w:rsid w:val="37E35434"/>
    <w:rsid w:val="441901EC"/>
    <w:rsid w:val="BCEB9ECF"/>
    <w:rsid w:val="DFF1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765</Words>
  <Characters>785</Characters>
  <Lines>0</Lines>
  <Paragraphs>0</Paragraphs>
  <TotalTime>11</TotalTime>
  <ScaleCrop>false</ScaleCrop>
  <LinksUpToDate>false</LinksUpToDate>
  <CharactersWithSpaces>787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2023-11-08T19:10:00Z</dcterms:created>
  <dc:creator>UREY</dc:creator>
  <cp:lastModifiedBy>scw</cp:lastModifiedBy>
  <dcterms:modified xsi:type="dcterms:W3CDTF">2026-01-13T11:34:14Z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DB113EA262B44D85934ECF50CA367DA9_13</vt:lpwstr>
  </property>
  <property fmtid="{D5CDD505-2E9C-101B-9397-08002B2CF9AE}" pid="4" name="KSOTemplateDocerSaveRecord">
    <vt:lpwstr>eyJoZGlkIjoiMzQxODZjOWZlMzE5YWQ3OWRiZTgwODQzYWE1NGJlMmEiLCJ1c2VySWQiOiIyNzU3Mjk3OTMifQ==</vt:lpwstr>
  </property>
</Properties>
</file>